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438" w:rsidRDefault="003A0CAF">
      <w:pPr>
        <w:pStyle w:val="Standard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Załącznik nr 3</w:t>
      </w:r>
    </w:p>
    <w:p w:rsidR="00617BF8" w:rsidRDefault="00617BF8" w:rsidP="00617BF8">
      <w:pPr>
        <w:pStyle w:val="Standard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Regulaminu przetargu ustnego nieograniczonego</w:t>
      </w:r>
    </w:p>
    <w:p w:rsidR="00617BF8" w:rsidRDefault="00617BF8" w:rsidP="00617BF8">
      <w:pPr>
        <w:pStyle w:val="Standard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na dzierżawę słupów i tablic ogłoszeniowych będących własnością Miasta Kalisza.</w:t>
      </w:r>
    </w:p>
    <w:p w:rsidR="00446438" w:rsidRDefault="00446438">
      <w:pPr>
        <w:pStyle w:val="Standard"/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</w:p>
    <w:p w:rsidR="00446438" w:rsidRDefault="003A0CAF">
      <w:pPr>
        <w:pStyle w:val="Standard"/>
        <w:spacing w:line="360" w:lineRule="auto"/>
        <w:jc w:val="center"/>
      </w:pPr>
      <w:r>
        <w:rPr>
          <w:rFonts w:ascii="Arial" w:hAnsi="Arial" w:cs="Arial"/>
          <w:b/>
          <w:sz w:val="22"/>
          <w:szCs w:val="22"/>
        </w:rPr>
        <w:t>UMOWA DZI</w:t>
      </w:r>
      <w:r w:rsidR="00AF1F88">
        <w:rPr>
          <w:rFonts w:ascii="Arial" w:hAnsi="Arial" w:cs="Arial"/>
          <w:b/>
          <w:sz w:val="22"/>
          <w:szCs w:val="22"/>
        </w:rPr>
        <w:t>E</w:t>
      </w:r>
      <w:r>
        <w:rPr>
          <w:rFonts w:ascii="Arial" w:hAnsi="Arial" w:cs="Arial"/>
          <w:b/>
          <w:sz w:val="22"/>
          <w:szCs w:val="22"/>
        </w:rPr>
        <w:t>RŻAWY</w:t>
      </w:r>
      <w:r>
        <w:rPr>
          <w:rFonts w:ascii="Arial" w:hAnsi="Arial" w:cs="Arial"/>
          <w:sz w:val="22"/>
          <w:szCs w:val="22"/>
        </w:rPr>
        <w:t xml:space="preserve"> Nr …………….</w:t>
      </w:r>
    </w:p>
    <w:p w:rsidR="00446438" w:rsidRDefault="00446438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46438" w:rsidRDefault="003A0CAF">
      <w:pPr>
        <w:pStyle w:val="Standard"/>
        <w:spacing w:line="360" w:lineRule="auto"/>
        <w:jc w:val="both"/>
      </w:pPr>
      <w:r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b/>
          <w:bCs/>
          <w:sz w:val="22"/>
          <w:szCs w:val="22"/>
        </w:rPr>
        <w:t xml:space="preserve">……………….…... </w:t>
      </w:r>
      <w:r>
        <w:rPr>
          <w:rFonts w:ascii="Arial" w:hAnsi="Arial" w:cs="Arial"/>
          <w:sz w:val="22"/>
          <w:szCs w:val="22"/>
        </w:rPr>
        <w:t xml:space="preserve">w Kaliszu pomiędzy </w:t>
      </w:r>
      <w:r>
        <w:rPr>
          <w:rFonts w:ascii="Arial" w:hAnsi="Arial" w:cs="Arial"/>
          <w:b/>
          <w:bCs/>
          <w:sz w:val="22"/>
          <w:szCs w:val="22"/>
        </w:rPr>
        <w:t>Miastem Kalisz – Miejskim Zarządem Dróg</w:t>
      </w:r>
      <w:r>
        <w:rPr>
          <w:rFonts w:ascii="Arial" w:hAnsi="Arial" w:cs="Arial"/>
          <w:b/>
          <w:bCs/>
          <w:sz w:val="22"/>
          <w:szCs w:val="22"/>
        </w:rPr>
        <w:br/>
        <w:t xml:space="preserve">i Komunikacji w Kaliszu </w:t>
      </w:r>
      <w:r>
        <w:rPr>
          <w:rFonts w:ascii="Arial" w:hAnsi="Arial" w:cs="Arial"/>
          <w:sz w:val="22"/>
          <w:szCs w:val="22"/>
        </w:rPr>
        <w:t>z siedzibą w Kaliszu ul. Złota 43, 62-800 Kalisz NIP ………………...…., zwanym dalej „Wydzierżawiającym”, reprezentowanym przez</w:t>
      </w:r>
    </w:p>
    <w:p w:rsidR="00446438" w:rsidRDefault="00AF1F88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Tomasza Ludwiczaka</w:t>
      </w:r>
      <w:r w:rsidR="003A0CAF">
        <w:rPr>
          <w:rFonts w:ascii="Arial" w:hAnsi="Arial" w:cs="Arial"/>
          <w:sz w:val="22"/>
          <w:szCs w:val="22"/>
        </w:rPr>
        <w:t xml:space="preserve"> – Dyrektora Miejskiego Zarządu Dróg i Komunikacji w Kaliszu</w:t>
      </w:r>
    </w:p>
    <w:p w:rsidR="00446438" w:rsidRDefault="003A0CAF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……………………………………………….……………...,</w:t>
      </w:r>
    </w:p>
    <w:p w:rsidR="00446438" w:rsidRDefault="003A0CAF">
      <w:pPr>
        <w:pStyle w:val="Standard"/>
        <w:spacing w:after="113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 dalej „Dzierżawcą”</w:t>
      </w:r>
    </w:p>
    <w:p w:rsidR="00446438" w:rsidRDefault="003A0CAF">
      <w:pPr>
        <w:pStyle w:val="Standard"/>
        <w:widowControl w:val="0"/>
        <w:tabs>
          <w:tab w:val="left" w:pos="1185"/>
          <w:tab w:val="center" w:pos="4535"/>
        </w:tabs>
        <w:spacing w:after="60"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§1</w:t>
      </w:r>
    </w:p>
    <w:p w:rsidR="00446438" w:rsidRDefault="003A0CAF">
      <w:pPr>
        <w:pStyle w:val="Standard"/>
        <w:widowControl w:val="0"/>
        <w:spacing w:after="113" w:line="276" w:lineRule="auto"/>
        <w:jc w:val="both"/>
      </w:pPr>
      <w:r>
        <w:rPr>
          <w:rFonts w:ascii="Arial" w:hAnsi="Arial" w:cs="Arial"/>
          <w:sz w:val="22"/>
          <w:szCs w:val="22"/>
          <w:lang w:eastAsia="en-US"/>
        </w:rPr>
        <w:t xml:space="preserve">Przedmiotem umowy jest dzierżawa słupów i tablic ogłoszeniowych wymienionych w załączniku nr 1 niniejszej umowy, będących własnością Miasta Kalisza, których Wydzierżawiający jest zarządcą, w celu umieszczania przez </w:t>
      </w:r>
      <w:bookmarkStart w:id="1" w:name="_Hlk500312333"/>
      <w:r>
        <w:rPr>
          <w:rFonts w:ascii="Arial" w:hAnsi="Arial" w:cs="Arial"/>
          <w:sz w:val="22"/>
          <w:szCs w:val="22"/>
          <w:lang w:eastAsia="en-US"/>
        </w:rPr>
        <w:t xml:space="preserve">Dzierżawcę informacji, ogłoszeń, obwieszczeń, afiszy, plakatów, itp. </w:t>
      </w:r>
      <w:bookmarkEnd w:id="1"/>
      <w:r>
        <w:rPr>
          <w:rFonts w:ascii="Arial" w:hAnsi="Arial" w:cs="Arial"/>
          <w:sz w:val="22"/>
          <w:szCs w:val="22"/>
          <w:lang w:eastAsia="en-US"/>
        </w:rPr>
        <w:t>na zlecenie osób trzecich, z zastrzeżeniem § 9 i 11.</w:t>
      </w:r>
    </w:p>
    <w:p w:rsidR="00446438" w:rsidRDefault="003A0CAF">
      <w:pPr>
        <w:pStyle w:val="Standard"/>
        <w:widowControl w:val="0"/>
        <w:spacing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§2</w:t>
      </w:r>
    </w:p>
    <w:p w:rsidR="00446438" w:rsidRDefault="003A0CAF">
      <w:pPr>
        <w:pStyle w:val="Standard"/>
        <w:widowControl w:val="0"/>
        <w:spacing w:after="113"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Zawarcie umowy następuje w wyniku przeprowadzenia przez Wydzierżawiającego przetargu ustnego nieograniczonego zgodnie z przepisami ustawy z dnia 23 kwietnia 1964 r. Kodeks cywilny (t.j. Dz. U. z. 2017 r. poz. 459, 933, 1132) i ustawy z dnia 21 marca 1985 r. o drogach publicznych (t.j. Dz. U. z 2017 r. poz. 2222 z późn. zm.).</w:t>
      </w:r>
    </w:p>
    <w:p w:rsidR="00446438" w:rsidRDefault="003A0CAF">
      <w:pPr>
        <w:pStyle w:val="Standard"/>
        <w:widowControl w:val="0"/>
        <w:spacing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§3</w:t>
      </w:r>
    </w:p>
    <w:p w:rsidR="00446438" w:rsidRDefault="003A0CAF">
      <w:pPr>
        <w:pStyle w:val="Standard"/>
        <w:widowControl w:val="0"/>
        <w:numPr>
          <w:ilvl w:val="0"/>
          <w:numId w:val="18"/>
        </w:numPr>
        <w:spacing w:line="276" w:lineRule="auto"/>
        <w:ind w:left="284" w:hanging="227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zobowiązuje się płacić Wydzierżawiającemu czynsz w wysokości określonej w §5 i używać słupów oraz tablic ogłoszeniowych zgodnie z ich przeznaczeniem i w sposób zgodny</w:t>
      </w:r>
      <w:r>
        <w:rPr>
          <w:rFonts w:ascii="Arial" w:hAnsi="Arial" w:cs="Arial"/>
          <w:sz w:val="22"/>
          <w:szCs w:val="22"/>
          <w:lang w:eastAsia="en-US"/>
        </w:rPr>
        <w:br/>
        <w:t>z niniejszą umową.</w:t>
      </w:r>
    </w:p>
    <w:p w:rsidR="00446438" w:rsidRDefault="003A0CAF">
      <w:pPr>
        <w:pStyle w:val="Standard"/>
        <w:widowControl w:val="0"/>
        <w:numPr>
          <w:ilvl w:val="0"/>
          <w:numId w:val="1"/>
        </w:numPr>
        <w:spacing w:line="276" w:lineRule="auto"/>
        <w:ind w:left="284" w:hanging="227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Treści eksponowane przez Dzierżawcę nie mogą być uwłaczające godności ludzkiej, według odczucia Wydzierżawiającego.</w:t>
      </w:r>
    </w:p>
    <w:p w:rsidR="00446438" w:rsidRDefault="003A0CAF">
      <w:pPr>
        <w:pStyle w:val="Standard"/>
        <w:widowControl w:val="0"/>
        <w:numPr>
          <w:ilvl w:val="0"/>
          <w:numId w:val="1"/>
        </w:numPr>
        <w:spacing w:line="276" w:lineRule="auto"/>
        <w:ind w:left="284" w:hanging="227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Przejęcie i przekazanie przedmiotu dzierżawy nastąpi na podstawie protokołu zdawczo-odbiorczego, którego wzór stanowi załącznik nr 2 do niniejszej umowy.</w:t>
      </w:r>
    </w:p>
    <w:p w:rsidR="00446438" w:rsidRDefault="003A0CAF">
      <w:pPr>
        <w:pStyle w:val="Standard"/>
        <w:widowControl w:val="0"/>
        <w:numPr>
          <w:ilvl w:val="0"/>
          <w:numId w:val="1"/>
        </w:numPr>
        <w:spacing w:line="276" w:lineRule="auto"/>
        <w:ind w:left="284" w:hanging="227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Wydanie przedmiotu dzierżawy nastąpi protokolarnie w dniu ………….. 2018 r.</w:t>
      </w:r>
    </w:p>
    <w:p w:rsidR="00446438" w:rsidRDefault="003A0CAF">
      <w:pPr>
        <w:pStyle w:val="Standard"/>
        <w:widowControl w:val="0"/>
        <w:numPr>
          <w:ilvl w:val="0"/>
          <w:numId w:val="1"/>
        </w:numPr>
        <w:spacing w:after="113" w:line="276" w:lineRule="auto"/>
        <w:ind w:left="284" w:hanging="227"/>
        <w:jc w:val="both"/>
      </w:pPr>
      <w:r>
        <w:rPr>
          <w:rFonts w:ascii="Arial" w:hAnsi="Arial" w:cs="Arial"/>
          <w:sz w:val="22"/>
          <w:szCs w:val="22"/>
          <w:lang w:eastAsia="en-US"/>
        </w:rPr>
        <w:t>Po zakończeniu umowy Dzierżawca zwróci Wy</w:t>
      </w:r>
      <w:bookmarkStart w:id="2" w:name="_Hlk492982172"/>
      <w:r>
        <w:rPr>
          <w:rFonts w:ascii="Arial" w:hAnsi="Arial" w:cs="Arial"/>
          <w:sz w:val="22"/>
          <w:szCs w:val="22"/>
          <w:lang w:eastAsia="en-US"/>
        </w:rPr>
        <w:t>dzierżawiającemu w terminie do 7 dni słupy i tablice ogłoszeniowe</w:t>
      </w:r>
      <w:bookmarkEnd w:id="2"/>
      <w:r>
        <w:rPr>
          <w:rFonts w:ascii="Arial" w:hAnsi="Arial" w:cs="Arial"/>
          <w:sz w:val="22"/>
          <w:szCs w:val="22"/>
          <w:lang w:eastAsia="en-US"/>
        </w:rPr>
        <w:t xml:space="preserve"> w stanie takim jak w dniu przekazania. Przekazanie potwierdzone będzie protokołem zdawczo-odbiorczym. Odpowiedzialność za stan słupów i tablic ogłoszeniowych do dnia przekazania ponosi Dzierżawca. Słupy i tablice ogłoszeniowe zostaną przekazane Wydzierżawiającemu po uprzednim oczyszczeniu z plakatów.</w:t>
      </w:r>
    </w:p>
    <w:p w:rsidR="00446438" w:rsidRDefault="003A0CAF">
      <w:pPr>
        <w:pStyle w:val="Standard"/>
        <w:widowControl w:val="0"/>
        <w:spacing w:after="60"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§4</w:t>
      </w:r>
    </w:p>
    <w:p w:rsidR="00446438" w:rsidRDefault="003A0CAF">
      <w:pPr>
        <w:pStyle w:val="Standard"/>
        <w:widowControl w:val="0"/>
        <w:numPr>
          <w:ilvl w:val="0"/>
          <w:numId w:val="19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22"/>
          <w:szCs w:val="22"/>
          <w:lang w:eastAsia="en-US"/>
        </w:rPr>
        <w:t xml:space="preserve">Wydzierżawiający oddaje Dzierżawcy przedmiot umowy w dzierżawę na okres </w:t>
      </w:r>
      <w:r w:rsidR="00AF1F88">
        <w:rPr>
          <w:rFonts w:ascii="Arial" w:hAnsi="Arial" w:cs="Arial"/>
          <w:b/>
          <w:sz w:val="22"/>
          <w:szCs w:val="22"/>
          <w:lang w:eastAsia="en-US"/>
        </w:rPr>
        <w:t>………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2018 r. </w:t>
      </w:r>
      <w:r>
        <w:rPr>
          <w:rFonts w:ascii="Arial" w:hAnsi="Arial" w:cs="Arial"/>
          <w:b/>
          <w:sz w:val="22"/>
          <w:szCs w:val="22"/>
          <w:lang w:eastAsia="en-US"/>
        </w:rPr>
        <w:t>do dnia 31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grudnia 2021r.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tabs>
          <w:tab w:val="left" w:pos="567"/>
        </w:tabs>
        <w:spacing w:line="240" w:lineRule="atLeast"/>
        <w:ind w:left="283" w:hanging="283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Umowa może być przedłużona na dalszy okres, nie dłuższy jednak niż trzy lata, na pisemny wniosek Dzierżawcy złożony trzy miesiące przed upływem terminu dzierżawy.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Każdej ze stron przysługuje prawo rozwiązania umowy z zachowaniem co najmniej trzymiesięcznego okresu wypowiedzenia, upływającego ostatniego dnia miesiąca kalendarzowego.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Wydzierżawiającemu przysługuje prawo natychmiastowego rozwiązania umowy w przypadku:</w:t>
      </w:r>
    </w:p>
    <w:p w:rsidR="00446438" w:rsidRDefault="003A0CAF">
      <w:pPr>
        <w:pStyle w:val="Standard"/>
        <w:widowControl w:val="0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opóźnienia Dzierżawcy z zapłatą całości lub części czynszu lub innych świadczeń </w:t>
      </w:r>
      <w:r>
        <w:rPr>
          <w:rFonts w:ascii="Arial" w:hAnsi="Arial" w:cs="Arial"/>
          <w:sz w:val="22"/>
          <w:szCs w:val="22"/>
          <w:lang w:eastAsia="en-US"/>
        </w:rPr>
        <w:lastRenderedPageBreak/>
        <w:t>wynikających z umowy za dwa pełne okresy płatności - w takim przypadku Wydzierżawiający pisemnie poinformuje Dzierżawcę o zamiarze natychmiastowego wypowiedzenia umowy oraz udzieli Dzierżawcy dodatkowego miesięcznego terminu do zapłaty zaległego czynszu,</w:t>
      </w:r>
    </w:p>
    <w:p w:rsidR="00446438" w:rsidRDefault="003A0CAF">
      <w:pPr>
        <w:pStyle w:val="Standard"/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gdy Dzierżawca swoim niewłaściwym postępowaniem utrudnia korzystanie z pasa drogowego w sąsiedztwie słupów,</w:t>
      </w:r>
    </w:p>
    <w:p w:rsidR="00446438" w:rsidRDefault="003A0CAF">
      <w:pPr>
        <w:pStyle w:val="Standard"/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jeżeli Dzierżawca używa przedmiotu dzierżawy w sposób niezgodny z jego przeznaczeniem albo w sposób pociągający za sobą jego znaczne zniszczenie lub prowadzi działalność niezgodną</w:t>
      </w:r>
      <w:r>
        <w:rPr>
          <w:rFonts w:ascii="Arial" w:hAnsi="Arial" w:cs="Arial"/>
          <w:sz w:val="22"/>
          <w:szCs w:val="22"/>
          <w:lang w:eastAsia="en-US"/>
        </w:rPr>
        <w:br/>
        <w:t>z prawem,</w:t>
      </w:r>
    </w:p>
    <w:p w:rsidR="00446438" w:rsidRDefault="003A0CAF">
      <w:pPr>
        <w:pStyle w:val="Standard"/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ogłoszenia upadłości, likwidacji lub zaprzestania prowadzenia działalności gospodarczej przez Dzierżawcę,</w:t>
      </w:r>
    </w:p>
    <w:p w:rsidR="00446438" w:rsidRDefault="003A0CAF">
      <w:pPr>
        <w:pStyle w:val="Standard"/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jeżeli Dzierżawca dopuszcza się innego naruszenia jakichkolwiek postanowień umowy.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Strony zgodnie ustalają, że przedmiot umowy, w tym ilość dzierżawionych słupów i tablic może ulec zmianie w przypadku zakupu nowych, zniszczenia któregokolwiek z nich lub konieczności usunięcia z powodu realizacji inwestycji i przedsięwzięć związanych z istotnymi potrzebami Miasta Kalisza, usuwania awarii i innych zdarzeń, które wymagać będą dla ich realizacji wykorzystania terenu, na którym znajdują się słupy ogłoszeniowe.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Usunięcia lub przestawienia słupa ogłoszeniowego w uzgodnieniu z Wydzierżawiającym dokonuje Dzierżawca.</w:t>
      </w:r>
    </w:p>
    <w:p w:rsidR="00446438" w:rsidRDefault="003A0CAF">
      <w:pPr>
        <w:pStyle w:val="Standard"/>
        <w:widowControl w:val="0"/>
        <w:numPr>
          <w:ilvl w:val="0"/>
          <w:numId w:val="2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Wszelkie zmiany umowy dokonywane będą za zgodą obu stron, w formie pisemnego aneksu, pod rygorem nieważności.</w:t>
      </w:r>
    </w:p>
    <w:p w:rsidR="00446438" w:rsidRDefault="003A0CAF">
      <w:pPr>
        <w:pStyle w:val="Standard"/>
        <w:widowControl w:val="0"/>
        <w:spacing w:after="60"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§5</w:t>
      </w:r>
    </w:p>
    <w:p w:rsidR="00446438" w:rsidRDefault="003A0CAF">
      <w:pPr>
        <w:pStyle w:val="Standard"/>
        <w:widowControl w:val="0"/>
        <w:numPr>
          <w:ilvl w:val="0"/>
          <w:numId w:val="21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Ustalony w drodze przetargu czynsz miesięczny za dzierżawę słupów i tablic ogłoszeniowych ustala się w wysokości……………zł brutto (słownie: …………) w tym netto w wysokości ……………….zł ( słownie:……….. ) oraz podatek od towarów i usług (VAT) według stawki 23% w wysokości  ………………………. zł (słownie: …………) z zastrzeżeniem ust 4 i 5 oraz §11.</w:t>
      </w:r>
    </w:p>
    <w:tbl>
      <w:tblPr>
        <w:tblW w:w="8558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5"/>
        <w:gridCol w:w="2094"/>
        <w:gridCol w:w="2284"/>
        <w:gridCol w:w="2305"/>
      </w:tblGrid>
      <w:tr w:rsidR="00446438">
        <w:trPr>
          <w:trHeight w:val="1073"/>
        </w:trPr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</w:tcPr>
          <w:p w:rsidR="00446438" w:rsidRDefault="003A0CAF">
            <w:pPr>
              <w:pStyle w:val="Standard"/>
              <w:spacing w:line="220" w:lineRule="auto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Miesięczna opłata za dzierżawę 1m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powierzchni</w:t>
            </w:r>
          </w:p>
          <w:p w:rsidR="00446438" w:rsidRDefault="003A0CAF">
            <w:pPr>
              <w:pStyle w:val="Standard"/>
              <w:ind w:left="40" w:right="38" w:hanging="1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(netto)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Łączna powierzchnia dzierżawy słupów</w:t>
            </w:r>
          </w:p>
          <w:p w:rsidR="00446438" w:rsidRDefault="003A0CAF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i tablic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spacing w:line="2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Miesięczna opłata</w:t>
            </w:r>
          </w:p>
          <w:p w:rsidR="00446438" w:rsidRDefault="003A0CAF">
            <w:pPr>
              <w:pStyle w:val="Standard"/>
              <w:spacing w:line="2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za dzierżawę powierzchni słupów i tablic</w:t>
            </w:r>
          </w:p>
          <w:p w:rsidR="00446438" w:rsidRDefault="003A0CAF">
            <w:pPr>
              <w:pStyle w:val="Standard"/>
              <w:ind w:left="40" w:right="40" w:hanging="1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(netto)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</w:tcPr>
          <w:p w:rsidR="00446438" w:rsidRDefault="003A0CAF">
            <w:pPr>
              <w:pStyle w:val="Standard"/>
              <w:spacing w:line="2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Miesięczna opłata</w:t>
            </w:r>
          </w:p>
          <w:p w:rsidR="00446438" w:rsidRDefault="003A0CAF">
            <w:pPr>
              <w:pStyle w:val="Standard"/>
              <w:spacing w:line="22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 dzierżawę powierzchni słupów i tablic</w:t>
            </w:r>
          </w:p>
          <w:p w:rsidR="00446438" w:rsidRDefault="003A0CAF">
            <w:pPr>
              <w:pStyle w:val="Standard"/>
              <w:ind w:left="40" w:right="35" w:hanging="1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(brutto)</w:t>
            </w:r>
          </w:p>
        </w:tc>
      </w:tr>
      <w:tr w:rsidR="00446438">
        <w:trPr>
          <w:trHeight w:val="1021"/>
        </w:trPr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…………………..……… zł</w:t>
            </w:r>
          </w:p>
        </w:tc>
        <w:tc>
          <w:tcPr>
            <w:tcW w:w="2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>434,66 m</w:t>
            </w:r>
            <w:r>
              <w:rPr>
                <w:rFonts w:ascii="Arial" w:hAnsi="Arial" w:cs="Arial"/>
                <w:sz w:val="22"/>
                <w:szCs w:val="22"/>
                <w:shd w:val="clear" w:color="auto" w:fill="FFFF00"/>
                <w:vertAlign w:val="superscript"/>
              </w:rPr>
              <w:t>2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………………………...…….. zł</w:t>
            </w:r>
          </w:p>
        </w:tc>
        <w:tc>
          <w:tcPr>
            <w:tcW w:w="2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71" w:type="dxa"/>
            </w:tcMar>
            <w:vAlign w:val="center"/>
          </w:tcPr>
          <w:p w:rsidR="00446438" w:rsidRDefault="003A0CAF">
            <w:pPr>
              <w:pStyle w:val="Standard"/>
              <w:ind w:left="40" w:right="38" w:hanging="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…………………………….….. zł</w:t>
            </w:r>
          </w:p>
        </w:tc>
      </w:tr>
    </w:tbl>
    <w:p w:rsidR="00446438" w:rsidRDefault="00446438">
      <w:pPr>
        <w:pStyle w:val="Standard"/>
        <w:widowControl w:val="0"/>
        <w:spacing w:after="60" w:line="276" w:lineRule="auto"/>
        <w:ind w:left="284" w:hanging="10"/>
        <w:jc w:val="both"/>
        <w:rPr>
          <w:rFonts w:ascii="Arial" w:hAnsi="Arial" w:cs="Arial"/>
          <w:sz w:val="22"/>
          <w:szCs w:val="22"/>
          <w:lang w:eastAsia="en-US"/>
        </w:rPr>
      </w:pPr>
    </w:p>
    <w:p w:rsidR="00446438" w:rsidRDefault="003A0CAF">
      <w:pPr>
        <w:pStyle w:val="Standard"/>
        <w:widowControl w:val="0"/>
        <w:spacing w:after="60" w:line="276" w:lineRule="auto"/>
        <w:ind w:left="284" w:hanging="284"/>
        <w:jc w:val="both"/>
      </w:pPr>
      <w:r>
        <w:rPr>
          <w:rFonts w:ascii="Arial" w:hAnsi="Arial" w:cs="Arial"/>
          <w:sz w:val="22"/>
          <w:szCs w:val="22"/>
          <w:lang w:eastAsia="en-US"/>
        </w:rPr>
        <w:t>2. Czynsz miesięczny za dzierżawę poszczególnego słupa ogłoszeniowego lub tablicy, wymienionych w załączniku nr. 1 do umowy, ustala się jako iloczyn powierzchni ogłoszeniowej oraz stawki za 1 m</w:t>
      </w:r>
      <w:r>
        <w:rPr>
          <w:rFonts w:ascii="Arial" w:hAnsi="Arial" w:cs="Arial"/>
          <w:sz w:val="22"/>
          <w:szCs w:val="22"/>
          <w:vertAlign w:val="superscript"/>
          <w:lang w:eastAsia="en-US"/>
        </w:rPr>
        <w:t>2</w:t>
      </w:r>
      <w:r>
        <w:rPr>
          <w:rFonts w:ascii="Arial" w:hAnsi="Arial" w:cs="Arial"/>
          <w:sz w:val="22"/>
          <w:szCs w:val="22"/>
          <w:lang w:eastAsia="en-US"/>
        </w:rPr>
        <w:t>.</w:t>
      </w:r>
    </w:p>
    <w:p w:rsidR="00446438" w:rsidRDefault="003A0CAF">
      <w:pPr>
        <w:pStyle w:val="Standard"/>
        <w:widowControl w:val="0"/>
        <w:spacing w:after="60" w:line="276" w:lineRule="auto"/>
        <w:ind w:left="284" w:hanging="284"/>
        <w:jc w:val="both"/>
      </w:pPr>
      <w:r>
        <w:rPr>
          <w:rFonts w:ascii="Arial" w:hAnsi="Arial" w:cs="Arial"/>
          <w:sz w:val="22"/>
          <w:szCs w:val="22"/>
          <w:lang w:eastAsia="en-US"/>
        </w:rPr>
        <w:t>3. Ustala się, że powierzchnia zarezerwowana dla potrzeb miasta wynosi 3 m</w:t>
      </w:r>
      <w:r>
        <w:rPr>
          <w:rFonts w:ascii="Arial" w:hAnsi="Arial" w:cs="Arial"/>
          <w:sz w:val="22"/>
          <w:szCs w:val="22"/>
          <w:vertAlign w:val="superscript"/>
          <w:lang w:eastAsia="en-US"/>
        </w:rPr>
        <w:t>2</w:t>
      </w:r>
      <w:r>
        <w:rPr>
          <w:rFonts w:ascii="Arial" w:hAnsi="Arial" w:cs="Arial"/>
          <w:sz w:val="22"/>
          <w:szCs w:val="22"/>
          <w:lang w:eastAsia="en-US"/>
        </w:rPr>
        <w:t xml:space="preserve"> dla każdego słupa ogłoszeniowego i 1 m</w:t>
      </w:r>
      <w:r>
        <w:rPr>
          <w:rFonts w:ascii="Arial" w:hAnsi="Arial" w:cs="Arial"/>
          <w:sz w:val="22"/>
          <w:szCs w:val="22"/>
          <w:vertAlign w:val="superscript"/>
          <w:lang w:eastAsia="en-US"/>
        </w:rPr>
        <w:t>2</w:t>
      </w:r>
      <w:r>
        <w:rPr>
          <w:rFonts w:ascii="Arial" w:hAnsi="Arial" w:cs="Arial"/>
          <w:sz w:val="22"/>
          <w:szCs w:val="22"/>
          <w:lang w:eastAsia="en-US"/>
        </w:rPr>
        <w:t xml:space="preserve"> dla każdej tablicy ogłoszeniowej.</w:t>
      </w:r>
    </w:p>
    <w:p w:rsidR="00446438" w:rsidRDefault="003A0CAF">
      <w:pPr>
        <w:pStyle w:val="Standard"/>
        <w:widowControl w:val="0"/>
        <w:numPr>
          <w:ilvl w:val="0"/>
          <w:numId w:val="22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Czynsz za dzierżawę słupów i tablic ogłoszeniowych za miesiąc …… 2018 r. zostanie proporcjonalnie zmniejszony i płatny będzie za okres od przekazania słupów i tablic. Dla potrzeb rozliczeń przyjmuje się, że miesiąc liczy 30 dni.</w:t>
      </w:r>
    </w:p>
    <w:p w:rsidR="00446438" w:rsidRDefault="003A0CAF">
      <w:pPr>
        <w:pStyle w:val="Standard"/>
        <w:widowControl w:val="0"/>
        <w:numPr>
          <w:ilvl w:val="0"/>
          <w:numId w:val="5"/>
        </w:numPr>
        <w:spacing w:after="60" w:line="276" w:lineRule="auto"/>
        <w:ind w:left="284" w:hanging="284"/>
        <w:jc w:val="both"/>
      </w:pPr>
      <w:r>
        <w:rPr>
          <w:rFonts w:ascii="Arial" w:hAnsi="Arial" w:cs="Arial"/>
          <w:sz w:val="22"/>
          <w:szCs w:val="22"/>
          <w:lang w:eastAsia="en-US"/>
        </w:rPr>
        <w:t xml:space="preserve">W przypadku zwiększenia lub zmniejszenia ilości </w:t>
      </w:r>
      <w:bookmarkStart w:id="3" w:name="_Hlk492982758"/>
      <w:r>
        <w:rPr>
          <w:rFonts w:ascii="Arial" w:hAnsi="Arial" w:cs="Arial"/>
          <w:sz w:val="22"/>
          <w:szCs w:val="22"/>
          <w:lang w:eastAsia="en-US"/>
        </w:rPr>
        <w:t>słupów lub tablic ogłoszeniowych</w:t>
      </w:r>
      <w:bookmarkEnd w:id="3"/>
      <w:r>
        <w:rPr>
          <w:rFonts w:ascii="Arial" w:hAnsi="Arial" w:cs="Arial"/>
          <w:sz w:val="22"/>
          <w:szCs w:val="22"/>
          <w:lang w:eastAsia="en-US"/>
        </w:rPr>
        <w:t>, czynsz wymieniony w ust 1 ulegnie zmianie o wartość wynikającą ze zwiększenia lub zmniejszenia powierzchni ogłoszeniowych.</w:t>
      </w:r>
    </w:p>
    <w:p w:rsidR="00446438" w:rsidRDefault="003A0CAF">
      <w:pPr>
        <w:pStyle w:val="Standard"/>
        <w:widowControl w:val="0"/>
        <w:numPr>
          <w:ilvl w:val="0"/>
          <w:numId w:val="5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przypadku zmiany podatku od towarów i usług (VAT) czynsz za dzierżawę brutto ulegnie zmianie stosownie do zmiany stawki podatku bez zmiany czynszu netto.</w:t>
      </w:r>
    </w:p>
    <w:p w:rsidR="00446438" w:rsidRPr="00AC1ADC" w:rsidRDefault="003A0CAF" w:rsidP="006B342A">
      <w:pPr>
        <w:pStyle w:val="Standard"/>
        <w:widowControl w:val="0"/>
        <w:numPr>
          <w:ilvl w:val="0"/>
          <w:numId w:val="5"/>
        </w:numPr>
        <w:spacing w:after="60" w:line="264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AC1ADC">
        <w:rPr>
          <w:rFonts w:ascii="Arial" w:hAnsi="Arial" w:cs="Arial"/>
          <w:sz w:val="22"/>
          <w:szCs w:val="22"/>
          <w:lang w:eastAsia="en-US"/>
        </w:rPr>
        <w:lastRenderedPageBreak/>
        <w:t>Zmiana wysokości czynszu, o której mowa w ust 5 wymaga zmiany umowy</w:t>
      </w:r>
      <w:r w:rsidR="006B342A" w:rsidRPr="00AC1ADC">
        <w:rPr>
          <w:rFonts w:ascii="Arial" w:hAnsi="Arial" w:cs="Arial"/>
          <w:sz w:val="22"/>
          <w:szCs w:val="22"/>
          <w:lang w:eastAsia="en-US"/>
        </w:rPr>
        <w:t>, z zastrzeżeniem czasowego wyłączenia słupów</w:t>
      </w:r>
      <w:r w:rsidR="00AC1ADC" w:rsidRPr="00AC1ADC">
        <w:rPr>
          <w:rFonts w:ascii="Arial" w:hAnsi="Arial" w:cs="Arial"/>
          <w:sz w:val="22"/>
          <w:szCs w:val="22"/>
          <w:lang w:eastAsia="en-US"/>
        </w:rPr>
        <w:t xml:space="preserve"> i tablic ogłoszeniowych</w:t>
      </w:r>
      <w:r w:rsidR="006B342A" w:rsidRPr="00AC1ADC">
        <w:rPr>
          <w:rFonts w:ascii="Arial" w:hAnsi="Arial" w:cs="Arial"/>
          <w:sz w:val="22"/>
          <w:szCs w:val="22"/>
          <w:lang w:eastAsia="en-US"/>
        </w:rPr>
        <w:t xml:space="preserve"> z przedmiotu umowy o którym mowa w §11.</w:t>
      </w:r>
    </w:p>
    <w:p w:rsidR="00446438" w:rsidRDefault="003A0CAF" w:rsidP="006B342A">
      <w:pPr>
        <w:pStyle w:val="Standard"/>
        <w:widowControl w:val="0"/>
        <w:numPr>
          <w:ilvl w:val="0"/>
          <w:numId w:val="5"/>
        </w:numPr>
        <w:spacing w:after="60" w:line="264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Wydzierżawiający będzie wystawiał fakturę VAT do 7-go dnia każdego miesiąca z góry, która płatna będzie w terminie do 14 dni od daty wystawienia, za wyjątkiem faktury za miesiąc ….. 2018 r. Faktura za miesiąc ….. 2018 zostanie wystawiona do 7 dni od dnia przekazania słupów i tablic ogłoszeniowych.</w:t>
      </w:r>
    </w:p>
    <w:p w:rsidR="00446438" w:rsidRDefault="003A0CAF" w:rsidP="006B342A">
      <w:pPr>
        <w:pStyle w:val="Standard"/>
        <w:widowControl w:val="0"/>
        <w:numPr>
          <w:ilvl w:val="0"/>
          <w:numId w:val="5"/>
        </w:numPr>
        <w:spacing w:after="113" w:line="264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przypadku niedotrzymania terminu określonego w ust. 8 Wydzierżawiający naliczy odsetki ustawowe za każdy dzień opóźnienia w zapłacie czynszu.</w:t>
      </w:r>
    </w:p>
    <w:p w:rsidR="00446438" w:rsidRDefault="003A0CAF" w:rsidP="006B342A">
      <w:pPr>
        <w:pStyle w:val="Standard"/>
        <w:widowControl w:val="0"/>
        <w:spacing w:after="60" w:line="264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bookmarkStart w:id="4" w:name="_Hlk506194714"/>
      <w:r>
        <w:rPr>
          <w:rFonts w:ascii="Arial" w:hAnsi="Arial" w:cs="Arial"/>
          <w:b/>
          <w:sz w:val="22"/>
          <w:szCs w:val="22"/>
          <w:lang w:eastAsia="en-US"/>
        </w:rPr>
        <w:t>§6</w:t>
      </w:r>
    </w:p>
    <w:p w:rsidR="00446438" w:rsidRDefault="003A0CAF" w:rsidP="006B342A">
      <w:pPr>
        <w:pStyle w:val="Standard"/>
        <w:widowControl w:val="0"/>
        <w:numPr>
          <w:ilvl w:val="0"/>
          <w:numId w:val="23"/>
        </w:numPr>
        <w:spacing w:after="60" w:line="264" w:lineRule="auto"/>
        <w:ind w:left="284" w:hanging="284"/>
        <w:jc w:val="both"/>
      </w:pPr>
      <w:bookmarkStart w:id="5" w:name="_Hlk496692332"/>
      <w:bookmarkEnd w:id="4"/>
      <w:r>
        <w:rPr>
          <w:rFonts w:ascii="Arial" w:hAnsi="Arial" w:cs="Arial"/>
          <w:sz w:val="22"/>
          <w:szCs w:val="22"/>
          <w:lang w:eastAsia="en-US"/>
        </w:rPr>
        <w:t xml:space="preserve">Dzierżawca oświadcza, że </w:t>
      </w:r>
      <w:bookmarkEnd w:id="5"/>
      <w:r>
        <w:rPr>
          <w:rFonts w:ascii="Arial" w:hAnsi="Arial" w:cs="Arial"/>
          <w:sz w:val="22"/>
          <w:szCs w:val="22"/>
          <w:lang w:eastAsia="en-US"/>
        </w:rPr>
        <w:t>jest płatnikiem podatku od towarów i usług (VAT) uprawnionym do otrzymywania faktur VAT.</w:t>
      </w:r>
    </w:p>
    <w:p w:rsidR="00446438" w:rsidRDefault="003A0CAF" w:rsidP="006B342A">
      <w:pPr>
        <w:pStyle w:val="Standard"/>
        <w:widowControl w:val="0"/>
        <w:numPr>
          <w:ilvl w:val="0"/>
          <w:numId w:val="6"/>
        </w:numPr>
        <w:spacing w:after="113" w:line="264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oświadcza, że posługuje się numerem NIP ……………</w:t>
      </w:r>
    </w:p>
    <w:p w:rsidR="00446438" w:rsidRDefault="003A0CAF" w:rsidP="006B342A">
      <w:pPr>
        <w:pStyle w:val="Standard"/>
        <w:widowControl w:val="0"/>
        <w:spacing w:after="60" w:line="264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§7</w:t>
      </w:r>
    </w:p>
    <w:p w:rsidR="00446438" w:rsidRDefault="003A0CAF" w:rsidP="006B342A">
      <w:pPr>
        <w:pStyle w:val="Standard"/>
        <w:widowControl w:val="0"/>
        <w:spacing w:after="113"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nie może bez pisemnej zgody Wydzierżawiającego oddać przedmiotu umowy lub jego części w używanie osobie trzeciej, w szczególności w podnajem lub bezpłatne używanie pod rygorem rozwiązania umowy przez Wydzierżawiającego bez wypowiedzenia.</w:t>
      </w:r>
    </w:p>
    <w:p w:rsidR="00446438" w:rsidRDefault="003A0CAF" w:rsidP="006B342A">
      <w:pPr>
        <w:pStyle w:val="Standard"/>
        <w:widowControl w:val="0"/>
        <w:spacing w:after="60" w:line="264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§8</w:t>
      </w:r>
    </w:p>
    <w:p w:rsidR="00446438" w:rsidRDefault="003A0CAF" w:rsidP="006B342A">
      <w:pPr>
        <w:pStyle w:val="Standard"/>
        <w:widowControl w:val="0"/>
        <w:numPr>
          <w:ilvl w:val="0"/>
          <w:numId w:val="24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Wszelkie koszty związane z bieżącą eksploatacją przedmiotu dzierżawy ponosi Dzierżawca.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Wszelkie opłaty z tytułu korzystania przez Dzierżawcę ze środowiska naturalnego oraz z tytułu jego zanieczyszczenia w wyniku działalności Dzierżawcy, jak również koszty usunięcia odpadów z przedmiotu dzierżawy ponosi wyłącznie Dzierżawca.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zobowiązany jest do utylizacji odpadów szkodliwych dla środowiska we własnym zakresie, poza terenem nieruchomości, na której znajduje się przedmiot dzierżawy.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zobowiązuje się do przeprowadzenia na własny koszt napraw eksploatacyjnych związanych z właściwym utrzymaniem stanu technicznego słupów i tablic ogłoszeniowych.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tabs>
          <w:tab w:val="left" w:pos="708"/>
        </w:tabs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Dzierżawca, w trakcie trwania umowy zobowiązuje się do wskazania osób oraz adresu, pod którym wyznaczone przez Dzierżawcę osoby będą przyjmowały dostarczone przez Wydzierżawiającego ogłoszenia, obwieszczenia, afisze, plakaty, itp. celem umieszczenia na słupach i tablicach ogłoszeniowych.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tabs>
          <w:tab w:val="left" w:pos="708"/>
        </w:tabs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zobowiązuje się do udzielania informacji pod numerem telefonu ……………….. oraz za pośrednictwem email……………… wszystkim zainteresowanym osobom o warunkach zamieszczania ogłoszeń.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tabs>
          <w:tab w:val="left" w:pos="708"/>
        </w:tabs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w ciągu 7 dni od daty zawarcia umowy zobowiązuje się do przesłania regulaminu, cennika i innych niezbędnych informacji dot. zamieszczania ogłoszeń.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tabs>
          <w:tab w:val="left" w:pos="708"/>
        </w:tabs>
        <w:spacing w:line="264" w:lineRule="auto"/>
        <w:jc w:val="both"/>
      </w:pPr>
      <w:r>
        <w:rPr>
          <w:rFonts w:ascii="Arial" w:hAnsi="Arial" w:cs="Arial"/>
          <w:sz w:val="22"/>
          <w:szCs w:val="22"/>
          <w:lang w:eastAsia="en-US"/>
        </w:rPr>
        <w:t>Dzierżawca w uzgodnieniu z Wydzierżawiającym zobowiązuje się na własny koszt do umieszczenia na każdym słupie i tablicy ogłoszeniowej, informacji o konieczności uzyskania zgody w celu umieszczania informacji wraz numerem telefonu, pod którym Dzierżawca będzie udzielał informacji telefonicznej.</w:t>
      </w:r>
    </w:p>
    <w:p w:rsidR="00446438" w:rsidRDefault="003A0CAF" w:rsidP="006B342A">
      <w:pPr>
        <w:pStyle w:val="Standard"/>
        <w:widowControl w:val="0"/>
        <w:numPr>
          <w:ilvl w:val="0"/>
          <w:numId w:val="7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zobowiązuje się do wykonania z zachowaniem należytej staranności, w trakcie trwania umowy prac związanych z utrzymaniem słupów ogłoszeniowych i tablic, jak i ich otoczenia w tym:</w:t>
      </w:r>
    </w:p>
    <w:p w:rsidR="00446438" w:rsidRDefault="003A0CAF" w:rsidP="006B342A">
      <w:pPr>
        <w:pStyle w:val="Standard"/>
        <w:widowControl w:val="0"/>
        <w:numPr>
          <w:ilvl w:val="0"/>
          <w:numId w:val="25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dokładnego oczyszczania powierzchni wokół słupów i tablic ogłoszeniowych,</w:t>
      </w:r>
    </w:p>
    <w:p w:rsidR="00446438" w:rsidRDefault="003A0CAF" w:rsidP="006B342A">
      <w:pPr>
        <w:pStyle w:val="Standard"/>
        <w:widowControl w:val="0"/>
        <w:numPr>
          <w:ilvl w:val="0"/>
          <w:numId w:val="8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niedopuszczania do naklejania nadmiernej grubości warstw, plakatów, maksymalna grubość nawarstwienia to 1,5 cm,</w:t>
      </w:r>
    </w:p>
    <w:p w:rsidR="00446438" w:rsidRDefault="003A0CAF" w:rsidP="006B342A">
      <w:pPr>
        <w:pStyle w:val="Standard"/>
        <w:widowControl w:val="0"/>
        <w:numPr>
          <w:ilvl w:val="0"/>
          <w:numId w:val="8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zbierania odpadów i śmieci powstałych w wyniku plakatowania słupów i tablic ogłoszeniowych,</w:t>
      </w:r>
    </w:p>
    <w:p w:rsidR="00446438" w:rsidRDefault="003A0CAF" w:rsidP="006B342A">
      <w:pPr>
        <w:pStyle w:val="Standard"/>
        <w:widowControl w:val="0"/>
        <w:numPr>
          <w:ilvl w:val="0"/>
          <w:numId w:val="8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usuwania graffiti z powierzchni nieplakatowanych,</w:t>
      </w:r>
    </w:p>
    <w:p w:rsidR="00446438" w:rsidRDefault="003A0CAF" w:rsidP="006B342A">
      <w:pPr>
        <w:pStyle w:val="Standard"/>
        <w:widowControl w:val="0"/>
        <w:numPr>
          <w:ilvl w:val="0"/>
          <w:numId w:val="8"/>
        </w:numPr>
        <w:spacing w:line="264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mycia raz w roku odkrytych powierzchni słupów i tablic ogłoszeniowych (w miesiącu maju),</w:t>
      </w:r>
    </w:p>
    <w:p w:rsidR="00446438" w:rsidRDefault="006B342A" w:rsidP="00AC1ADC">
      <w:pPr>
        <w:pStyle w:val="Standard"/>
        <w:widowControl w:val="0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br w:type="page"/>
      </w:r>
      <w:r w:rsidR="003A0CAF">
        <w:rPr>
          <w:rFonts w:ascii="Arial" w:hAnsi="Arial" w:cs="Arial"/>
          <w:sz w:val="22"/>
          <w:szCs w:val="22"/>
          <w:lang w:eastAsia="en-US"/>
        </w:rPr>
        <w:lastRenderedPageBreak/>
        <w:t>malowania elementów słupów lub elementów tablic ogłoszeniowych poza częścią ekspozycyjną w kolorystyce i zakresie uzgodnionym z Wydzierżawiającym w przypadkach, gdy nastąpi łuszczenie się farby,</w:t>
      </w:r>
    </w:p>
    <w:p w:rsidR="00446438" w:rsidRDefault="003A0CAF">
      <w:pPr>
        <w:pStyle w:val="Standard"/>
        <w:widowControl w:val="0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odnawiania umieszczonej informacji o której mowa w ust 7.</w:t>
      </w:r>
    </w:p>
    <w:p w:rsidR="00446438" w:rsidRDefault="003A0CAF">
      <w:pPr>
        <w:pStyle w:val="Standard"/>
        <w:widowControl w:val="0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naprawy uszkodzeń i ubytków konstrukcji słupów i tablic ogłoszeniowych.</w:t>
      </w:r>
    </w:p>
    <w:p w:rsidR="00446438" w:rsidRDefault="003A0CAF">
      <w:pPr>
        <w:pStyle w:val="Standard"/>
        <w:widowControl w:val="0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przypadku niewywiązania się Dzierżawcy z obowiązków określonych w ust 9 z przyczyn leżących po jego stronie, Wydzierżawiający wezwie Dzierżawcę pisemnie do usunięcia zaniedbań, wyznaczając 14- dniowy termin na ich usunięcie.</w:t>
      </w:r>
    </w:p>
    <w:p w:rsidR="00446438" w:rsidRDefault="003A0CAF">
      <w:pPr>
        <w:pStyle w:val="Standard"/>
        <w:widowControl w:val="0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przypadku niezastosowania się Dzierżawcy do wezwania Wydzierżawiający naliczy Dzierżawcy karę umowną w wysokości 2% miesięcznego czynszu za każdy dzień opóźnienia licząc od 15 dnia od otrzymania wezwania przez Dzierżawcę.</w:t>
      </w:r>
    </w:p>
    <w:p w:rsidR="00446438" w:rsidRDefault="003A0CAF">
      <w:pPr>
        <w:pStyle w:val="Standard"/>
        <w:widowControl w:val="0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jest zobowiązany do ponoszenia wszelkich kosztów, podatków i innych ciężarów związanych z utrzymaniem słupów i tablic ogłoszeniowych.</w:t>
      </w:r>
    </w:p>
    <w:p w:rsidR="00446438" w:rsidRDefault="003A0CAF">
      <w:pPr>
        <w:pStyle w:val="Standard"/>
        <w:widowControl w:val="0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Dzierżawca winien ubezpieczyć </w:t>
      </w:r>
      <w:bookmarkStart w:id="6" w:name="_Hlk492982595"/>
      <w:r>
        <w:rPr>
          <w:rFonts w:ascii="Arial" w:hAnsi="Arial" w:cs="Arial"/>
          <w:sz w:val="22"/>
          <w:szCs w:val="22"/>
        </w:rPr>
        <w:t>słupy i tablice ogłoszeniowe</w:t>
      </w:r>
      <w:bookmarkEnd w:id="6"/>
      <w:r>
        <w:rPr>
          <w:rFonts w:ascii="Arial" w:hAnsi="Arial" w:cs="Arial"/>
          <w:sz w:val="22"/>
          <w:szCs w:val="22"/>
        </w:rPr>
        <w:t xml:space="preserve"> od aktów wandalizmu i kradzieży, do czasu przekazania ich Wydzierżawiającemu, w przypadku braku ubezpieczenia wszelkie koszty z tym związane ponosi Dzierżawca we własnym zakresie.</w:t>
      </w:r>
    </w:p>
    <w:p w:rsidR="00446438" w:rsidRDefault="003A0CAF">
      <w:pPr>
        <w:pStyle w:val="Standard"/>
        <w:widowControl w:val="0"/>
        <w:numPr>
          <w:ilvl w:val="0"/>
          <w:numId w:val="7"/>
        </w:numPr>
        <w:spacing w:after="113" w:line="276" w:lineRule="auto"/>
        <w:ind w:left="426" w:hanging="426"/>
        <w:jc w:val="both"/>
      </w:pPr>
      <w:r>
        <w:rPr>
          <w:rFonts w:ascii="Arial" w:hAnsi="Arial" w:cs="Arial"/>
          <w:sz w:val="22"/>
          <w:szCs w:val="22"/>
          <w:lang w:eastAsia="en-US"/>
        </w:rPr>
        <w:t xml:space="preserve">Dzierżawca </w:t>
      </w:r>
      <w:r>
        <w:rPr>
          <w:rFonts w:ascii="Arial" w:hAnsi="Arial" w:cs="Arial"/>
          <w:sz w:val="22"/>
          <w:szCs w:val="22"/>
        </w:rPr>
        <w:t>zobowiązany jest do pisemnego informowania Wydzierżawiającego o obowiązującym cenniku za świadczone usługi.</w:t>
      </w:r>
    </w:p>
    <w:p w:rsidR="00446438" w:rsidRDefault="003A0CAF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9</w:t>
      </w:r>
    </w:p>
    <w:p w:rsidR="00446438" w:rsidRDefault="003A0CAF">
      <w:pPr>
        <w:pStyle w:val="Standard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obowiązków Dzierżawcy należy ponadto nieodpłatne umieszczanie informacji, afiszy, plakatów i innych ogłoszeń Miasta Kalisza, a w szczególności:</w:t>
      </w:r>
    </w:p>
    <w:p w:rsidR="00446438" w:rsidRDefault="003A0CA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obwieszczeń, uchwał i zarządzeń Rady Miasta Kalisza i Prezydenta Miasta Kalisza,</w:t>
      </w:r>
    </w:p>
    <w:p w:rsidR="00446438" w:rsidRDefault="003A0CAF">
      <w:pPr>
        <w:pStyle w:val="Standard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urzędowych obwieszczeń wydawanych przez organy wyborcze, referendalne, Wojewodę Wielkopolskiego, Prezydenta Miasta Kalisza, Radę Miasta Kalisza w związku z organizacją</w:t>
      </w:r>
      <w:r>
        <w:rPr>
          <w:rFonts w:ascii="Arial" w:hAnsi="Arial" w:cs="Arial"/>
          <w:sz w:val="22"/>
          <w:szCs w:val="22"/>
        </w:rPr>
        <w:br/>
        <w:t>i przeprowadzaniem wyborów organów samorządu terytorialnego na posłów i senatorów do Sejmu i Senatu RP, posłów do Parlamentu Europejskiego oraz lokalnych i ogólnokrajowych referendów,</w:t>
      </w:r>
    </w:p>
    <w:p w:rsidR="00446438" w:rsidRDefault="003A0CAF">
      <w:pPr>
        <w:pStyle w:val="Standard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obwieszczeń o przeprowadzeniu kwalifikacji wojskowych,</w:t>
      </w:r>
    </w:p>
    <w:p w:rsidR="00446438" w:rsidRDefault="003A0CAF">
      <w:pPr>
        <w:pStyle w:val="Standard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zarządzeń i komunikatów </w:t>
      </w:r>
      <w:bookmarkStart w:id="7" w:name="_Hlk492983623"/>
      <w:r>
        <w:rPr>
          <w:rFonts w:ascii="Arial" w:hAnsi="Arial" w:cs="Arial"/>
          <w:sz w:val="22"/>
          <w:szCs w:val="22"/>
        </w:rPr>
        <w:t>Szefa Obrony Cywilnej Miasta Kalisza</w:t>
      </w:r>
      <w:bookmarkEnd w:id="7"/>
      <w:r>
        <w:rPr>
          <w:rFonts w:ascii="Arial" w:hAnsi="Arial" w:cs="Arial"/>
          <w:sz w:val="22"/>
          <w:szCs w:val="22"/>
        </w:rPr>
        <w:t>,</w:t>
      </w:r>
    </w:p>
    <w:p w:rsidR="00446438" w:rsidRDefault="003A0CAF">
      <w:pPr>
        <w:pStyle w:val="Standard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innych ogłoszeń i plakatów dotyczących imprez organizowanych pod patronatem Prezydenta Miasta Kalisza lub z udziałem Miasta Kalisz, po uprzednim pisemnym potwierdzeniu, w terminie do 2 dni, od dnia otrzymania ich przez Dzierżawcę.</w:t>
      </w:r>
    </w:p>
    <w:p w:rsidR="00446438" w:rsidRDefault="003A0CAF">
      <w:pPr>
        <w:pStyle w:val="Standard"/>
        <w:numPr>
          <w:ilvl w:val="0"/>
          <w:numId w:val="28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Plakaty i ogłoszenia wymienione w ust. 1, po dostarczeniu ich przez Wydzierżawiającego, będą umieszczane na słupach i tablicach ogłoszeniowych w miejscach widocznych i będą pozostawać na nich przez okres uzgodniony z Wydzierżawiającym.</w:t>
      </w:r>
    </w:p>
    <w:p w:rsidR="00446438" w:rsidRDefault="003A0CAF">
      <w:pPr>
        <w:pStyle w:val="Standard"/>
        <w:numPr>
          <w:ilvl w:val="0"/>
          <w:numId w:val="11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Obwieszczenia, o których mowa w ust. 1 lit. b należy umieszczać na słupach i tablicach ogłoszeniowych niezwłocznie, w nieprzekraczalnych terminach wskazanych przez Wydzierżawiającego.</w:t>
      </w:r>
    </w:p>
    <w:p w:rsidR="00446438" w:rsidRDefault="003A0CAF">
      <w:pPr>
        <w:pStyle w:val="Default"/>
        <w:spacing w:after="11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446438" w:rsidRDefault="003A0CAF">
      <w:pPr>
        <w:pStyle w:val="Standard"/>
        <w:widowControl w:val="0"/>
        <w:numPr>
          <w:ilvl w:val="0"/>
          <w:numId w:val="2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Wydzierżawiający zastrzega sobie prawo do przeprowadzania kontroli przestrzegania przez Dzierżawcę warunków umowy. Do przeprowadzania kontroli upoważnieni będą wyznaczeni przez Wydzierżawiającego pracownicy.</w:t>
      </w:r>
    </w:p>
    <w:p w:rsidR="00446438" w:rsidRDefault="003A0CAF">
      <w:pPr>
        <w:pStyle w:val="Standard"/>
        <w:widowControl w:val="0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razie stwierdzenia, w trakcie kontroli, naruszenia warunków umowy Dzierżawca będzie zobowiązany do zapłaty Wydzierżawiającemu kary umownej w wysokości 20% wartości miesięcznego czynszu.</w:t>
      </w:r>
    </w:p>
    <w:p w:rsidR="00446438" w:rsidRDefault="003A0CAF">
      <w:pPr>
        <w:pStyle w:val="Standard"/>
        <w:widowControl w:val="0"/>
        <w:numPr>
          <w:ilvl w:val="0"/>
          <w:numId w:val="12"/>
        </w:numPr>
        <w:spacing w:line="276" w:lineRule="auto"/>
        <w:ind w:left="283" w:hanging="283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W razie stwierdzenia, w trakcie kontroli, nienależytej dbałości o stan techniczny słupów lub tablic ogłoszeniowych, a w szczególności naruszenia przez Dzierżawcę obowiązków wymienionych w §8 ust. 9, Wydzierżawiający zastrzega sobie prawo do wypowiedzenia umowy i nałożenia kary </w:t>
      </w:r>
      <w:r>
        <w:rPr>
          <w:rFonts w:ascii="Arial" w:hAnsi="Arial" w:cs="Arial"/>
          <w:sz w:val="22"/>
          <w:szCs w:val="22"/>
          <w:lang w:eastAsia="en-US"/>
        </w:rPr>
        <w:lastRenderedPageBreak/>
        <w:t>pieniężnej w wysokości miesięcznego czynszu dzierżawy.</w:t>
      </w:r>
    </w:p>
    <w:p w:rsidR="00446438" w:rsidRDefault="003A0CAF">
      <w:pPr>
        <w:pStyle w:val="Standard"/>
        <w:widowControl w:val="0"/>
        <w:numPr>
          <w:ilvl w:val="0"/>
          <w:numId w:val="12"/>
        </w:numPr>
        <w:spacing w:line="276" w:lineRule="auto"/>
        <w:ind w:left="283" w:hanging="283"/>
        <w:jc w:val="both"/>
      </w:pPr>
      <w:r>
        <w:rPr>
          <w:rFonts w:ascii="Arial" w:hAnsi="Arial" w:cs="Arial"/>
          <w:sz w:val="22"/>
          <w:szCs w:val="22"/>
          <w:lang w:eastAsia="en-US"/>
        </w:rPr>
        <w:t xml:space="preserve">W przypadku niedotrzymania terminów umieszczania ogłoszeń o których nowa </w:t>
      </w:r>
      <w:r>
        <w:rPr>
          <w:rFonts w:ascii="Arial" w:hAnsi="Arial" w:cs="Arial"/>
          <w:sz w:val="22"/>
          <w:szCs w:val="22"/>
        </w:rPr>
        <w:t>§9, Wydzierżawiający ma prawo zlecić usługę innej osobie, a kosztem jej wykonania obciążyć Dzierżawcę.</w:t>
      </w:r>
    </w:p>
    <w:p w:rsidR="00446438" w:rsidRDefault="003A0CAF">
      <w:pPr>
        <w:pStyle w:val="Standard"/>
        <w:widowControl w:val="0"/>
        <w:numPr>
          <w:ilvl w:val="0"/>
          <w:numId w:val="12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Jeżeli kara umowna nie pokryje wyrządzonej szkody Wydzierżawiający zachowuje prawo do dochodzenia odszkodowania za szkody wyrządzone przez Dzierżawcę na zasadach ogólnych.</w:t>
      </w:r>
    </w:p>
    <w:p w:rsidR="00446438" w:rsidRDefault="003A0CAF">
      <w:pPr>
        <w:pStyle w:val="Standard"/>
        <w:spacing w:after="113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11</w:t>
      </w:r>
    </w:p>
    <w:p w:rsidR="00446438" w:rsidRDefault="003A0CAF">
      <w:pPr>
        <w:pStyle w:val="Standard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W razie ogłoszenia o zarządzeniu wyborów, stosownie do przepisów ustawy z dnia 5 stycznia 2011 roku Kodeks wyborczy (Dz. U. z 2017, poz. 1089 z późn.zm.) Dzierżawca zobowiązany jest do udostępnienia wskazanych przez Prezydenta Miasta Kalisza słupów i tablic ogłoszeniowych w celu umieszczania przez komitety wyborcze obwieszczeń i plakatów wydawanych w związku</w:t>
      </w:r>
      <w:r>
        <w:rPr>
          <w:rFonts w:ascii="Arial" w:hAnsi="Arial" w:cs="Arial"/>
          <w:sz w:val="22"/>
          <w:szCs w:val="22"/>
        </w:rPr>
        <w:br/>
        <w:t>z prowadzoną przez nich kampanią wyborczą w rozumieniu art. 104 w/w ustawy.</w:t>
      </w:r>
    </w:p>
    <w:p w:rsidR="00446438" w:rsidRDefault="003A0CAF">
      <w:pPr>
        <w:pStyle w:val="Standard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Słupy i tablice ogłoszeniowe, o których mowa w ust 1 zostaną wyłączone na czas określony</w:t>
      </w:r>
      <w:r>
        <w:rPr>
          <w:rFonts w:ascii="Arial" w:hAnsi="Arial" w:cs="Arial"/>
          <w:sz w:val="22"/>
          <w:szCs w:val="22"/>
        </w:rPr>
        <w:br/>
        <w:t>z umowy dzierżawy.</w:t>
      </w:r>
    </w:p>
    <w:p w:rsidR="00446438" w:rsidRDefault="003A0CAF">
      <w:pPr>
        <w:pStyle w:val="Standard"/>
        <w:numPr>
          <w:ilvl w:val="0"/>
          <w:numId w:val="13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Wydzierżawiający powiadomi pisemnie Dzierżawcę o wyznaczonych przez Prezydenta Miasta Kalisza słupach i tablicach ogłoszeniowych, o których mowa w ust 1, o terminie wyłączenia z umowy dzierżawy oraz o wysokości czynszu za dzierżawę pozostałych słupów i tablic ogłoszeniowych. Zasady ustalania wysokości czynszu określa § 5 umowy. Powyższa zmiana nie wymaga zmiany umowy.</w:t>
      </w:r>
    </w:p>
    <w:p w:rsidR="00446438" w:rsidRDefault="003A0CAF">
      <w:pPr>
        <w:pStyle w:val="Standard"/>
        <w:spacing w:after="113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12</w:t>
      </w:r>
    </w:p>
    <w:p w:rsidR="00446438" w:rsidRDefault="003A0CAF">
      <w:pPr>
        <w:pStyle w:val="Standard"/>
        <w:widowControl w:val="0"/>
        <w:numPr>
          <w:ilvl w:val="0"/>
          <w:numId w:val="3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po rozwiązaniu umowy zobowiązany jest zwrócić przedmiot dzierżawy Wydzierżawiającemu w stanie niepogorszonym.</w:t>
      </w:r>
    </w:p>
    <w:p w:rsidR="00446438" w:rsidRDefault="003A0CAF">
      <w:pPr>
        <w:pStyle w:val="Standard"/>
        <w:widowControl w:val="0"/>
        <w:numPr>
          <w:ilvl w:val="0"/>
          <w:numId w:val="1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Zwrot przedmiotu dzierżawy nastąpić powinien w terminie wskazanym przez Wydzierżawiającego nie dłuższym jednak niż 7 dni od dnia rozwiązania lub wygaśnięcia umowy. Odbiór przedmiotu dzierżawy nastąpi na podstawie protokołu zdawczo-odbiorczego.</w:t>
      </w:r>
    </w:p>
    <w:p w:rsidR="00446438" w:rsidRDefault="003A0CAF">
      <w:pPr>
        <w:pStyle w:val="Standard"/>
        <w:widowControl w:val="0"/>
        <w:numPr>
          <w:ilvl w:val="0"/>
          <w:numId w:val="1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wypadku dokonania przez Dzierżawcę nakładów na przedmiot dzierżawy Wydzierżawiający może żądać przywrócenia przedmiotu dzierżawy do stanu poprzedniego lub zachować nakłady. Dzierżawcy nie przysługuje zwrot jakichkolwiek kosztów z tytułu dokonania nakładów.</w:t>
      </w:r>
    </w:p>
    <w:p w:rsidR="00446438" w:rsidRDefault="003A0CAF">
      <w:pPr>
        <w:pStyle w:val="Standard"/>
        <w:widowControl w:val="0"/>
        <w:numPr>
          <w:ilvl w:val="0"/>
          <w:numId w:val="14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W przypadku opóźnienia w zwrocie Wydzierżawiającemu przedmiotu umowy Dzierżawca zapłaci Wydzierżawiającemu odszkodowanie za bezumowne korzystanie z przedmiotu umowy w wysokości 5% czynszu za każdy dzień opóźnienia w zwrocie słupów i tablic ogłoszeniowych.</w:t>
      </w:r>
    </w:p>
    <w:p w:rsidR="00446438" w:rsidRDefault="003A0CAF">
      <w:pPr>
        <w:pStyle w:val="Standard"/>
        <w:widowControl w:val="0"/>
        <w:spacing w:after="60" w:line="276" w:lineRule="auto"/>
        <w:jc w:val="center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t>§13</w:t>
      </w:r>
    </w:p>
    <w:p w:rsidR="00446438" w:rsidRDefault="003A0CAF">
      <w:pPr>
        <w:pStyle w:val="Standard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zobowiązuje się, na czas trwania umowy, do ubezpieczenia odpowiedzialności cywilnej za szkody rzeczowe słupów i tablic w ramach prowadzonej działalności.</w:t>
      </w:r>
    </w:p>
    <w:p w:rsidR="00446438" w:rsidRDefault="003A0CAF">
      <w:pPr>
        <w:pStyle w:val="Standard"/>
        <w:widowControl w:val="0"/>
        <w:numPr>
          <w:ilvl w:val="0"/>
          <w:numId w:val="15"/>
        </w:numPr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Dzierżawca ponosi odpowiedzialność za szkody wyrządzone osobom trzecim w związku z wykonywaniem umowy.</w:t>
      </w:r>
    </w:p>
    <w:p w:rsidR="00446438" w:rsidRDefault="003A0CAF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§14</w:t>
      </w:r>
    </w:p>
    <w:p w:rsidR="00446438" w:rsidRDefault="003A0CAF">
      <w:pPr>
        <w:pStyle w:val="Standard"/>
        <w:spacing w:after="113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Upoważnia się pracowników ………………………Miejskiego Zarządu Dróg i Komunikacji w Kaliszu do sprawowania nadzoru nad wykonaniem niniejszej umowy.</w:t>
      </w:r>
    </w:p>
    <w:p w:rsidR="00446438" w:rsidRDefault="003A0CAF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15</w:t>
      </w:r>
    </w:p>
    <w:p w:rsidR="00446438" w:rsidRDefault="003A0CAF">
      <w:pPr>
        <w:pStyle w:val="Standard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sprawach nieuregulowanych niniejszą umową mają zastosowanie przepisy Kodeksu Cywilnego.</w:t>
      </w:r>
    </w:p>
    <w:p w:rsidR="00446438" w:rsidRDefault="003A0CAF">
      <w:pPr>
        <w:pStyle w:val="Standard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Wszelkie zmiany w treści umowy wymagają formy pisemnej w formie aneksu, pod rygorem nieważności.</w:t>
      </w:r>
    </w:p>
    <w:p w:rsidR="00446438" w:rsidRDefault="003A0CAF">
      <w:pPr>
        <w:pStyle w:val="Standard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Ewentualne spory powstałe na tle wykonywania umowy rozstrzygać będzie Sąd właściwy w Kaliszu.</w:t>
      </w:r>
    </w:p>
    <w:p w:rsidR="00446438" w:rsidRDefault="003A0CAF">
      <w:pPr>
        <w:pStyle w:val="Standard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ustalają następujące adresy do korespondencji, w tym składania oświadczeń woli:</w:t>
      </w:r>
    </w:p>
    <w:p w:rsidR="00446438" w:rsidRDefault="003A0CAF">
      <w:pPr>
        <w:pStyle w:val="Standard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Wydzierżawiający: Miejski Zarząd Dróg i Komunikacji w Kaliszu, 62-800 Kalisz, ul. Złota 43,</w:t>
      </w:r>
    </w:p>
    <w:p w:rsidR="00446438" w:rsidRDefault="003A0CAF">
      <w:pPr>
        <w:pStyle w:val="Standard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Dzierżawca: …………………………………………….</w:t>
      </w:r>
    </w:p>
    <w:p w:rsidR="00446438" w:rsidRDefault="003A0CAF">
      <w:pPr>
        <w:pStyle w:val="Standard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ab/>
        <w:t>Strona umowy zobowiązana jest do poinformowania drugiej strony o zmianie adresu. W razie niewykonania obowiązku, o którym mowa w zdaniu poprzedzającym, pismo wysłane na adres wskazany w ust 4 uważa się za doręczone.</w:t>
      </w:r>
    </w:p>
    <w:p w:rsidR="00446438" w:rsidRDefault="003A0CAF">
      <w:pPr>
        <w:pStyle w:val="Standard"/>
        <w:spacing w:after="113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ab/>
        <w:t>Umowę sporządzono w 3 jednobrzmiących egzemplarzach, z których 2 egz. otrzymuje Wydzierżawiający, a 1 egz. Dzierżawca.</w:t>
      </w:r>
    </w:p>
    <w:p w:rsidR="00446438" w:rsidRDefault="003A0CAF">
      <w:pPr>
        <w:pStyle w:val="Standard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16</w:t>
      </w:r>
    </w:p>
    <w:p w:rsidR="00446438" w:rsidRDefault="003A0CAF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niniejszej umowy stanowią:</w:t>
      </w:r>
    </w:p>
    <w:p w:rsidR="00446438" w:rsidRDefault="003A0CAF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 Załącznik nr 1</w:t>
      </w:r>
      <w:r>
        <w:rPr>
          <w:rFonts w:ascii="Arial" w:hAnsi="Arial" w:cs="Arial"/>
          <w:sz w:val="22"/>
          <w:szCs w:val="22"/>
        </w:rPr>
        <w:tab/>
        <w:t>-</w:t>
      </w:r>
      <w:r>
        <w:rPr>
          <w:rFonts w:ascii="Arial" w:hAnsi="Arial" w:cs="Arial"/>
          <w:sz w:val="22"/>
          <w:szCs w:val="22"/>
        </w:rPr>
        <w:tab/>
        <w:t>Tabelaryczny wykaz słupów i tablic ogłoszeniowych.</w:t>
      </w:r>
    </w:p>
    <w:p w:rsidR="00446438" w:rsidRDefault="003A0CAF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 Załacznik nr 2</w:t>
      </w:r>
      <w:r>
        <w:rPr>
          <w:rFonts w:ascii="Arial" w:hAnsi="Arial" w:cs="Arial"/>
          <w:sz w:val="22"/>
          <w:szCs w:val="22"/>
        </w:rPr>
        <w:tab/>
        <w:t>-</w:t>
      </w:r>
      <w:r>
        <w:rPr>
          <w:rFonts w:ascii="Arial" w:hAnsi="Arial" w:cs="Arial"/>
          <w:sz w:val="22"/>
          <w:szCs w:val="22"/>
        </w:rPr>
        <w:tab/>
        <w:t xml:space="preserve">Protokół zdawczo – odbiorczy z przekazania słupów i tablic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ogłoszeniowych</w:t>
      </w:r>
    </w:p>
    <w:p w:rsidR="00446438" w:rsidRDefault="003A0CAF">
      <w:pPr>
        <w:pStyle w:val="Standard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46438" w:rsidRDefault="003A0CAF">
      <w:pPr>
        <w:pStyle w:val="Standard"/>
        <w:spacing w:line="360" w:lineRule="auto"/>
      </w:pPr>
      <w:r>
        <w:rPr>
          <w:rFonts w:ascii="Arial" w:hAnsi="Arial" w:cs="Arial"/>
          <w:b/>
          <w:sz w:val="22"/>
          <w:szCs w:val="22"/>
        </w:rPr>
        <w:tab/>
        <w:t>WYDZIERŻAWIAJĄCY: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DZIERŻAWCA:</w:t>
      </w:r>
    </w:p>
    <w:sectPr w:rsidR="00446438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CAF" w:rsidRDefault="003A0CAF">
      <w:r>
        <w:separator/>
      </w:r>
    </w:p>
  </w:endnote>
  <w:endnote w:type="continuationSeparator" w:id="0">
    <w:p w:rsidR="003A0CAF" w:rsidRDefault="003A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 Condensed Light">
    <w:altName w:val="Arial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2B5" w:rsidRDefault="003A0CAF">
    <w:pPr>
      <w:pStyle w:val="Stopka"/>
      <w:jc w:val="center"/>
    </w:pPr>
    <w:r>
      <w:rPr>
        <w:rFonts w:ascii="Roboto Condensed Light" w:hAnsi="Roboto Condensed Light"/>
      </w:rPr>
      <w:fldChar w:fldCharType="begin"/>
    </w:r>
    <w:r>
      <w:rPr>
        <w:rFonts w:ascii="Roboto Condensed Light" w:hAnsi="Roboto Condensed Light"/>
      </w:rPr>
      <w:instrText xml:space="preserve"> PAGE </w:instrText>
    </w:r>
    <w:r>
      <w:rPr>
        <w:rFonts w:ascii="Roboto Condensed Light" w:hAnsi="Roboto Condensed Light"/>
      </w:rPr>
      <w:fldChar w:fldCharType="separate"/>
    </w:r>
    <w:r w:rsidR="00F51FA4">
      <w:rPr>
        <w:rFonts w:ascii="Roboto Condensed Light" w:hAnsi="Roboto Condensed Light" w:hint="eastAsia"/>
        <w:noProof/>
      </w:rPr>
      <w:t>2</w:t>
    </w:r>
    <w:r>
      <w:rPr>
        <w:rFonts w:ascii="Roboto Condensed Light" w:hAnsi="Roboto Condensed Ligh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CAF" w:rsidRDefault="003A0CAF">
      <w:r>
        <w:rPr>
          <w:color w:val="000000"/>
        </w:rPr>
        <w:separator/>
      </w:r>
    </w:p>
  </w:footnote>
  <w:footnote w:type="continuationSeparator" w:id="0">
    <w:p w:rsidR="003A0CAF" w:rsidRDefault="003A0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D7519"/>
    <w:multiLevelType w:val="multilevel"/>
    <w:tmpl w:val="452860E6"/>
    <w:styleLink w:val="WWNum26"/>
    <w:lvl w:ilvl="0">
      <w:start w:val="1"/>
      <w:numFmt w:val="decimal"/>
      <w:lvlText w:val="%1."/>
      <w:lvlJc w:val="left"/>
      <w:pPr>
        <w:ind w:left="284" w:hanging="284"/>
      </w:pPr>
      <w:rPr>
        <w:rFonts w:ascii="Roboto Condensed Light" w:hAnsi="Roboto Condensed Light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1B17B7"/>
    <w:multiLevelType w:val="multilevel"/>
    <w:tmpl w:val="E85231D2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0CB2799"/>
    <w:multiLevelType w:val="multilevel"/>
    <w:tmpl w:val="95D23580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E01C93"/>
    <w:multiLevelType w:val="multilevel"/>
    <w:tmpl w:val="DAAA3EB0"/>
    <w:styleLink w:val="WWNum19"/>
    <w:lvl w:ilvl="0">
      <w:start w:val="4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C66363"/>
    <w:multiLevelType w:val="multilevel"/>
    <w:tmpl w:val="30989EBA"/>
    <w:styleLink w:val="WWNum31"/>
    <w:lvl w:ilvl="0">
      <w:start w:val="1"/>
      <w:numFmt w:val="decimal"/>
      <w:lvlText w:val="%1."/>
      <w:lvlJc w:val="left"/>
      <w:pPr>
        <w:ind w:left="284" w:hanging="284"/>
      </w:pPr>
      <w:rPr>
        <w:rFonts w:ascii="Roboto Condensed Light" w:hAnsi="Roboto Condensed Light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41F7B89"/>
    <w:multiLevelType w:val="multilevel"/>
    <w:tmpl w:val="29C85C98"/>
    <w:styleLink w:val="WWNum16"/>
    <w:lvl w:ilvl="0">
      <w:start w:val="1"/>
      <w:numFmt w:val="lowerLetter"/>
      <w:lvlText w:val="%1)"/>
      <w:lvlJc w:val="left"/>
      <w:pPr>
        <w:ind w:left="720" w:hanging="360"/>
      </w:pPr>
      <w:rPr>
        <w:rFonts w:ascii="Roboto Condensed Light" w:hAnsi="Roboto Condensed Light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5F44565"/>
    <w:multiLevelType w:val="multilevel"/>
    <w:tmpl w:val="E556B976"/>
    <w:styleLink w:val="WWNum28"/>
    <w:lvl w:ilvl="0">
      <w:start w:val="2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B644983"/>
    <w:multiLevelType w:val="multilevel"/>
    <w:tmpl w:val="C95C85BE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BBF00FB"/>
    <w:multiLevelType w:val="multilevel"/>
    <w:tmpl w:val="996E94D8"/>
    <w:styleLink w:val="WWNum25"/>
    <w:lvl w:ilvl="0">
      <w:start w:val="1"/>
      <w:numFmt w:val="lowerLetter"/>
      <w:lvlText w:val="%1)"/>
      <w:lvlJc w:val="left"/>
      <w:pPr>
        <w:ind w:left="720" w:hanging="360"/>
      </w:pPr>
      <w:rPr>
        <w:rFonts w:ascii="Roboto Condensed Light" w:hAnsi="Roboto Condensed Light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CE167A2"/>
    <w:multiLevelType w:val="multilevel"/>
    <w:tmpl w:val="18BC5D8E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 w15:restartNumberingAfterBreak="0">
    <w:nsid w:val="5E3D1BCF"/>
    <w:multiLevelType w:val="multilevel"/>
    <w:tmpl w:val="1188F2C8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FDC48E7"/>
    <w:multiLevelType w:val="multilevel"/>
    <w:tmpl w:val="356A88A6"/>
    <w:styleLink w:val="WWNum27"/>
    <w:lvl w:ilvl="0">
      <w:start w:val="2"/>
      <w:numFmt w:val="decimal"/>
      <w:lvlText w:val="%1."/>
      <w:lvlJc w:val="left"/>
      <w:pPr>
        <w:ind w:left="1080" w:hanging="360"/>
      </w:pPr>
      <w:rPr>
        <w:rFonts w:ascii="Roboto Condensed Light" w:hAnsi="Roboto Condensed Light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607E7A72"/>
    <w:multiLevelType w:val="multilevel"/>
    <w:tmpl w:val="6C58D6EC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23F5240"/>
    <w:multiLevelType w:val="multilevel"/>
    <w:tmpl w:val="4E465F6E"/>
    <w:styleLink w:val="WWNum3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D06A95"/>
    <w:multiLevelType w:val="multilevel"/>
    <w:tmpl w:val="27FEB7B2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5F5A71"/>
    <w:multiLevelType w:val="multilevel"/>
    <w:tmpl w:val="BFE89E9A"/>
    <w:styleLink w:val="WWNum21"/>
    <w:lvl w:ilvl="0">
      <w:start w:val="1"/>
      <w:numFmt w:val="lowerLetter"/>
      <w:lvlText w:val="%1)"/>
      <w:lvlJc w:val="left"/>
      <w:pPr>
        <w:ind w:left="720" w:hanging="360"/>
      </w:pPr>
      <w:rPr>
        <w:rFonts w:ascii="Roboto Condensed Light" w:hAnsi="Roboto Condensed Light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73C650EF"/>
    <w:multiLevelType w:val="multilevel"/>
    <w:tmpl w:val="427A9E98"/>
    <w:styleLink w:val="WWNum20"/>
    <w:lvl w:ilvl="0">
      <w:start w:val="1"/>
      <w:numFmt w:val="decimal"/>
      <w:lvlText w:val="%1."/>
      <w:lvlJc w:val="left"/>
      <w:pPr>
        <w:ind w:left="284" w:hanging="284"/>
      </w:pPr>
      <w:rPr>
        <w:rFonts w:ascii="Roboto Condensed Light" w:hAnsi="Roboto Condensed Light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11"/>
  </w:num>
  <w:num w:numId="12">
    <w:abstractNumId w:val="12"/>
  </w:num>
  <w:num w:numId="13">
    <w:abstractNumId w:val="6"/>
  </w:num>
  <w:num w:numId="14">
    <w:abstractNumId w:val="1"/>
  </w:num>
  <w:num w:numId="15">
    <w:abstractNumId w:val="9"/>
  </w:num>
  <w:num w:numId="16">
    <w:abstractNumId w:val="4"/>
  </w:num>
  <w:num w:numId="17">
    <w:abstractNumId w:val="13"/>
  </w:num>
  <w:num w:numId="18">
    <w:abstractNumId w:val="14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3"/>
    <w:lvlOverride w:ilvl="0">
      <w:startOverride w:val="4"/>
    </w:lvlOverride>
  </w:num>
  <w:num w:numId="23">
    <w:abstractNumId w:val="2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15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8"/>
    <w:lvlOverride w:ilvl="0">
      <w:startOverride w:val="1"/>
    </w:lvlOverride>
  </w:num>
  <w:num w:numId="28">
    <w:abstractNumId w:val="11"/>
    <w:lvlOverride w:ilvl="0">
      <w:startOverride w:val="2"/>
    </w:lvlOverride>
  </w:num>
  <w:num w:numId="29">
    <w:abstractNumId w:val="12"/>
    <w:lvlOverride w:ilvl="0">
      <w:startOverride w:val="1"/>
    </w:lvlOverride>
  </w:num>
  <w:num w:numId="30">
    <w:abstractNumId w:val="6"/>
    <w:lvlOverride w:ilvl="0">
      <w:startOverride w:val="2"/>
    </w:lvlOverride>
  </w:num>
  <w:num w:numId="31">
    <w:abstractNumId w:val="1"/>
    <w:lvlOverride w:ilvl="0">
      <w:startOverride w:val="1"/>
    </w:lvlOverride>
  </w:num>
  <w:num w:numId="32">
    <w:abstractNumId w:val="9"/>
    <w:lvlOverride w:ilvl="0">
      <w:startOverride w:val="1"/>
    </w:lvlOverride>
  </w:num>
  <w:num w:numId="33">
    <w:abstractNumId w:val="4"/>
    <w:lvlOverride w:ilvl="0">
      <w:startOverride w:val="1"/>
    </w:lvlOverride>
  </w:num>
  <w:num w:numId="34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438"/>
    <w:rsid w:val="003A0CAF"/>
    <w:rsid w:val="00446438"/>
    <w:rsid w:val="00617BF8"/>
    <w:rsid w:val="006B342A"/>
    <w:rsid w:val="00AC1ADC"/>
    <w:rsid w:val="00AF1F88"/>
    <w:rsid w:val="00B7520A"/>
    <w:rsid w:val="00D73675"/>
    <w:rsid w:val="00F5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5E0DF-27E4-4B13-A14A-C6661DAD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suppressAutoHyphens/>
    </w:pPr>
    <w:rPr>
      <w:rFonts w:ascii="Arial" w:eastAsia="Arial" w:hAnsi="Arial" w:cs="Arial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ListLabel127">
    <w:name w:val="ListLabel 127"/>
    <w:rPr>
      <w:rFonts w:ascii="Roboto Condensed Light" w:eastAsia="Roboto Condensed Light" w:hAnsi="Roboto Condensed Light" w:cs="Times New Roman"/>
      <w:b w:val="0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  <w:rPr>
      <w:rFonts w:cs="Times New Roman"/>
    </w:rPr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cs="Times New Roman"/>
    </w:rPr>
  </w:style>
  <w:style w:type="character" w:customStyle="1" w:styleId="ListLabel137">
    <w:name w:val="ListLabel 137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36">
    <w:name w:val="ListLabel 136"/>
    <w:rPr>
      <w:rFonts w:ascii="Roboto Condensed Light" w:eastAsia="Roboto Condensed Light" w:hAnsi="Roboto Condensed Light" w:cs="Times New Roman"/>
    </w:rPr>
  </w:style>
  <w:style w:type="character" w:customStyle="1" w:styleId="ListLabel138">
    <w:name w:val="ListLabel 138"/>
    <w:rPr>
      <w:rFonts w:ascii="Roboto Condensed Light" w:eastAsia="Roboto Condensed Light" w:hAnsi="Roboto Condensed Light" w:cs="Times New Roman"/>
      <w:b w:val="0"/>
    </w:rPr>
  </w:style>
  <w:style w:type="character" w:customStyle="1" w:styleId="ListLabel139">
    <w:name w:val="ListLabel 139"/>
    <w:rPr>
      <w:rFonts w:cs="Times New Roman"/>
    </w:rPr>
  </w:style>
  <w:style w:type="character" w:customStyle="1" w:styleId="ListLabel140">
    <w:name w:val="ListLabel 140"/>
    <w:rPr>
      <w:rFonts w:cs="Times New Roman"/>
    </w:rPr>
  </w:style>
  <w:style w:type="character" w:customStyle="1" w:styleId="ListLabel141">
    <w:name w:val="ListLabel 141"/>
    <w:rPr>
      <w:rFonts w:cs="Times New Roman"/>
    </w:rPr>
  </w:style>
  <w:style w:type="character" w:customStyle="1" w:styleId="ListLabel142">
    <w:name w:val="ListLabel 142"/>
    <w:rPr>
      <w:rFonts w:cs="Times New Roman"/>
    </w:rPr>
  </w:style>
  <w:style w:type="character" w:customStyle="1" w:styleId="ListLabel143">
    <w:name w:val="ListLabel 143"/>
    <w:rPr>
      <w:rFonts w:cs="Times New Roman"/>
    </w:rPr>
  </w:style>
  <w:style w:type="character" w:customStyle="1" w:styleId="ListLabel144">
    <w:name w:val="ListLabel 144"/>
    <w:rPr>
      <w:rFonts w:cs="Times New Roman"/>
    </w:rPr>
  </w:style>
  <w:style w:type="character" w:customStyle="1" w:styleId="ListLabel145">
    <w:name w:val="ListLabel 145"/>
    <w:rPr>
      <w:rFonts w:cs="Times New Roman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ascii="Roboto Condensed Light" w:eastAsia="Roboto Condensed Light" w:hAnsi="Roboto Condensed Light" w:cs="Times New Roman"/>
      <w:b w:val="0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character" w:customStyle="1" w:styleId="ListLabel153">
    <w:name w:val="ListLabel 153"/>
    <w:rPr>
      <w:rFonts w:cs="Times New Roman"/>
    </w:rPr>
  </w:style>
  <w:style w:type="character" w:customStyle="1" w:styleId="ListLabel154">
    <w:name w:val="ListLabel 154"/>
    <w:rPr>
      <w:rFonts w:cs="Times New Roman"/>
    </w:rPr>
  </w:style>
  <w:style w:type="character" w:customStyle="1" w:styleId="ListLabel155">
    <w:name w:val="ListLabel 155"/>
    <w:rPr>
      <w:rFonts w:cs="Times New Roman"/>
    </w:rPr>
  </w:style>
  <w:style w:type="character" w:customStyle="1" w:styleId="ListLabel205">
    <w:name w:val="ListLabel 205"/>
    <w:rPr>
      <w:rFonts w:ascii="Roboto Condensed Light" w:eastAsia="Roboto Condensed Light" w:hAnsi="Roboto Condensed Light" w:cs="Times New Roman"/>
      <w:b w:val="0"/>
    </w:rPr>
  </w:style>
  <w:style w:type="character" w:customStyle="1" w:styleId="ListLabel206">
    <w:name w:val="ListLabel 206"/>
    <w:rPr>
      <w:rFonts w:cs="Times New Roman"/>
    </w:rPr>
  </w:style>
  <w:style w:type="character" w:customStyle="1" w:styleId="ListLabel207">
    <w:name w:val="ListLabel 207"/>
    <w:rPr>
      <w:rFonts w:cs="Times New Roman"/>
    </w:rPr>
  </w:style>
  <w:style w:type="character" w:customStyle="1" w:styleId="ListLabel208">
    <w:name w:val="ListLabel 208"/>
    <w:rPr>
      <w:rFonts w:cs="Times New Roman"/>
    </w:rPr>
  </w:style>
  <w:style w:type="character" w:customStyle="1" w:styleId="ListLabel209">
    <w:name w:val="ListLabel 209"/>
    <w:rPr>
      <w:rFonts w:cs="Times New Roman"/>
    </w:rPr>
  </w:style>
  <w:style w:type="character" w:customStyle="1" w:styleId="ListLabel210">
    <w:name w:val="ListLabel 210"/>
    <w:rPr>
      <w:rFonts w:cs="Times New Roman"/>
    </w:rPr>
  </w:style>
  <w:style w:type="character" w:customStyle="1" w:styleId="ListLabel211">
    <w:name w:val="ListLabel 211"/>
    <w:rPr>
      <w:rFonts w:cs="Times New Roman"/>
    </w:rPr>
  </w:style>
  <w:style w:type="character" w:customStyle="1" w:styleId="ListLabel212">
    <w:name w:val="ListLabel 212"/>
    <w:rPr>
      <w:rFonts w:cs="Times New Roman"/>
    </w:rPr>
  </w:style>
  <w:style w:type="character" w:customStyle="1" w:styleId="ListLabel213">
    <w:name w:val="ListLabel 213"/>
    <w:rPr>
      <w:rFonts w:cs="Times New Roman"/>
    </w:rPr>
  </w:style>
  <w:style w:type="character" w:customStyle="1" w:styleId="ListLabel156">
    <w:name w:val="ListLabel 156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57">
    <w:name w:val="ListLabel 157"/>
    <w:rPr>
      <w:rFonts w:ascii="Roboto Condensed Light" w:eastAsia="Roboto Condensed Light" w:hAnsi="Roboto Condensed Light" w:cs="Times New Roman"/>
    </w:rPr>
  </w:style>
  <w:style w:type="character" w:customStyle="1" w:styleId="ListLabel178">
    <w:name w:val="ListLabel 178"/>
    <w:rPr>
      <w:rFonts w:ascii="Roboto Condensed Light" w:eastAsia="Roboto Condensed Light" w:hAnsi="Roboto Condensed Light" w:cs="Times New Roman"/>
    </w:rPr>
  </w:style>
  <w:style w:type="character" w:customStyle="1" w:styleId="ListLabel179">
    <w:name w:val="ListLabel 179"/>
    <w:rPr>
      <w:rFonts w:cs="Times New Roman"/>
    </w:rPr>
  </w:style>
  <w:style w:type="character" w:customStyle="1" w:styleId="ListLabel180">
    <w:name w:val="ListLabel 180"/>
    <w:rPr>
      <w:rFonts w:cs="Times New Roman"/>
    </w:rPr>
  </w:style>
  <w:style w:type="character" w:customStyle="1" w:styleId="ListLabel181">
    <w:name w:val="ListLabel 181"/>
    <w:rPr>
      <w:rFonts w:cs="Times New Roman"/>
    </w:rPr>
  </w:style>
  <w:style w:type="character" w:customStyle="1" w:styleId="ListLabel182">
    <w:name w:val="ListLabel 182"/>
    <w:rPr>
      <w:rFonts w:cs="Times New Roman"/>
    </w:rPr>
  </w:style>
  <w:style w:type="character" w:customStyle="1" w:styleId="ListLabel183">
    <w:name w:val="ListLabel 183"/>
    <w:rPr>
      <w:rFonts w:cs="Times New Roman"/>
    </w:rPr>
  </w:style>
  <w:style w:type="character" w:customStyle="1" w:styleId="ListLabel184">
    <w:name w:val="ListLabel 184"/>
    <w:rPr>
      <w:rFonts w:cs="Times New Roman"/>
    </w:rPr>
  </w:style>
  <w:style w:type="character" w:customStyle="1" w:styleId="ListLabel185">
    <w:name w:val="ListLabel 185"/>
    <w:rPr>
      <w:rFonts w:cs="Times New Roman"/>
    </w:rPr>
  </w:style>
  <w:style w:type="character" w:customStyle="1" w:styleId="ListLabel186">
    <w:name w:val="ListLabel 186"/>
    <w:rPr>
      <w:rFonts w:cs="Times New Roman"/>
    </w:rPr>
  </w:style>
  <w:style w:type="character" w:customStyle="1" w:styleId="ListLabel169">
    <w:name w:val="ListLabel 169"/>
    <w:rPr>
      <w:rFonts w:ascii="Roboto Condensed Light" w:eastAsia="Roboto Condensed Light" w:hAnsi="Roboto Condensed Light" w:cs="Times New Roman"/>
    </w:rPr>
  </w:style>
  <w:style w:type="character" w:customStyle="1" w:styleId="ListLabel170">
    <w:name w:val="ListLabel 170"/>
    <w:rPr>
      <w:rFonts w:cs="Times New Roman"/>
    </w:rPr>
  </w:style>
  <w:style w:type="character" w:customStyle="1" w:styleId="ListLabel171">
    <w:name w:val="ListLabel 171"/>
    <w:rPr>
      <w:rFonts w:cs="Times New Roman"/>
    </w:rPr>
  </w:style>
  <w:style w:type="character" w:customStyle="1" w:styleId="ListLabel172">
    <w:name w:val="ListLabel 172"/>
    <w:rPr>
      <w:rFonts w:cs="Times New Roman"/>
    </w:rPr>
  </w:style>
  <w:style w:type="character" w:customStyle="1" w:styleId="ListLabel173">
    <w:name w:val="ListLabel 173"/>
    <w:rPr>
      <w:rFonts w:cs="Times New Roman"/>
    </w:rPr>
  </w:style>
  <w:style w:type="character" w:customStyle="1" w:styleId="ListLabel174">
    <w:name w:val="ListLabel 174"/>
    <w:rPr>
      <w:rFonts w:cs="Times New Roman"/>
    </w:rPr>
  </w:style>
  <w:style w:type="character" w:customStyle="1" w:styleId="ListLabel175">
    <w:name w:val="ListLabel 175"/>
    <w:rPr>
      <w:rFonts w:cs="Times New Roman"/>
    </w:rPr>
  </w:style>
  <w:style w:type="character" w:customStyle="1" w:styleId="ListLabel176">
    <w:name w:val="ListLabel 176"/>
    <w:rPr>
      <w:rFonts w:cs="Times New Roman"/>
    </w:rPr>
  </w:style>
  <w:style w:type="character" w:customStyle="1" w:styleId="ListLabel177">
    <w:name w:val="ListLabel 177"/>
    <w:rPr>
      <w:rFonts w:cs="Times New Roman"/>
    </w:rPr>
  </w:style>
  <w:style w:type="character" w:customStyle="1" w:styleId="ListLabel187">
    <w:name w:val="ListLabel 187"/>
    <w:rPr>
      <w:rFonts w:ascii="Roboto Condensed Light" w:eastAsia="Roboto Condensed Light" w:hAnsi="Roboto Condensed Light" w:cs="Times New Roman"/>
    </w:rPr>
  </w:style>
  <w:style w:type="character" w:customStyle="1" w:styleId="ListLabel188">
    <w:name w:val="ListLabel 188"/>
    <w:rPr>
      <w:rFonts w:cs="Times New Roman"/>
    </w:rPr>
  </w:style>
  <w:style w:type="character" w:customStyle="1" w:styleId="ListLabel189">
    <w:name w:val="ListLabel 189"/>
    <w:rPr>
      <w:rFonts w:cs="Times New Roman"/>
    </w:rPr>
  </w:style>
  <w:style w:type="character" w:customStyle="1" w:styleId="ListLabel190">
    <w:name w:val="ListLabel 190"/>
    <w:rPr>
      <w:rFonts w:cs="Times New Roman"/>
    </w:rPr>
  </w:style>
  <w:style w:type="character" w:customStyle="1" w:styleId="ListLabel191">
    <w:name w:val="ListLabel 191"/>
    <w:rPr>
      <w:rFonts w:cs="Times New Roman"/>
    </w:rPr>
  </w:style>
  <w:style w:type="character" w:customStyle="1" w:styleId="ListLabel192">
    <w:name w:val="ListLabel 192"/>
    <w:rPr>
      <w:rFonts w:cs="Times New Roman"/>
    </w:rPr>
  </w:style>
  <w:style w:type="character" w:customStyle="1" w:styleId="ListLabel193">
    <w:name w:val="ListLabel 193"/>
    <w:rPr>
      <w:rFonts w:cs="Times New Roman"/>
    </w:rPr>
  </w:style>
  <w:style w:type="character" w:customStyle="1" w:styleId="ListLabel194">
    <w:name w:val="ListLabel 194"/>
    <w:rPr>
      <w:rFonts w:cs="Times New Roman"/>
    </w:rPr>
  </w:style>
  <w:style w:type="character" w:customStyle="1" w:styleId="ListLabel195">
    <w:name w:val="ListLabel 195"/>
    <w:rPr>
      <w:rFonts w:cs="Times New Roman"/>
    </w:rPr>
  </w:style>
  <w:style w:type="character" w:customStyle="1" w:styleId="ListLabel158">
    <w:name w:val="ListLabel 158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96">
    <w:name w:val="ListLabel 196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97">
    <w:name w:val="ListLabel 197"/>
    <w:rPr>
      <w:rFonts w:cs="Times New Roman"/>
    </w:rPr>
  </w:style>
  <w:style w:type="character" w:customStyle="1" w:styleId="ListLabel198">
    <w:name w:val="ListLabel 198"/>
    <w:rPr>
      <w:rFonts w:cs="Times New Roman"/>
    </w:rPr>
  </w:style>
  <w:style w:type="character" w:customStyle="1" w:styleId="ListLabel199">
    <w:name w:val="ListLabel 199"/>
    <w:rPr>
      <w:rFonts w:cs="Times New Roman"/>
    </w:rPr>
  </w:style>
  <w:style w:type="character" w:customStyle="1" w:styleId="ListLabel200">
    <w:name w:val="ListLabel 200"/>
    <w:rPr>
      <w:rFonts w:cs="Times New Roman"/>
    </w:rPr>
  </w:style>
  <w:style w:type="character" w:customStyle="1" w:styleId="ListLabel201">
    <w:name w:val="ListLabel 201"/>
    <w:rPr>
      <w:rFonts w:cs="Times New Roman"/>
    </w:rPr>
  </w:style>
  <w:style w:type="character" w:customStyle="1" w:styleId="ListLabel202">
    <w:name w:val="ListLabel 202"/>
    <w:rPr>
      <w:rFonts w:cs="Times New Roman"/>
    </w:rPr>
  </w:style>
  <w:style w:type="character" w:customStyle="1" w:styleId="ListLabel203">
    <w:name w:val="ListLabel 203"/>
    <w:rPr>
      <w:rFonts w:cs="Times New Roman"/>
    </w:rPr>
  </w:style>
  <w:style w:type="character" w:customStyle="1" w:styleId="ListLabel204">
    <w:name w:val="ListLabel 204"/>
    <w:rPr>
      <w:rFonts w:cs="Times New Roman"/>
    </w:rPr>
  </w:style>
  <w:style w:type="character" w:customStyle="1" w:styleId="ListLabel168">
    <w:name w:val="ListLabel 168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59">
    <w:name w:val="ListLabel 159"/>
    <w:rPr>
      <w:rFonts w:ascii="Roboto Condensed Light" w:eastAsia="Roboto Condensed Light" w:hAnsi="Roboto Condensed Light" w:cs="Times New Roman"/>
      <w:b w:val="0"/>
      <w:bCs w:val="0"/>
    </w:rPr>
  </w:style>
  <w:style w:type="character" w:customStyle="1" w:styleId="ListLabel160">
    <w:name w:val="ListLabel 160"/>
    <w:rPr>
      <w:rFonts w:cs="Times New Roman"/>
    </w:rPr>
  </w:style>
  <w:style w:type="character" w:customStyle="1" w:styleId="ListLabel161">
    <w:name w:val="ListLabel 161"/>
    <w:rPr>
      <w:rFonts w:cs="Times New Roman"/>
    </w:rPr>
  </w:style>
  <w:style w:type="character" w:customStyle="1" w:styleId="ListLabel162">
    <w:name w:val="ListLabel 162"/>
    <w:rPr>
      <w:rFonts w:cs="Times New Roman"/>
    </w:rPr>
  </w:style>
  <w:style w:type="character" w:customStyle="1" w:styleId="ListLabel163">
    <w:name w:val="ListLabel 163"/>
    <w:rPr>
      <w:rFonts w:cs="Times New Roman"/>
    </w:rPr>
  </w:style>
  <w:style w:type="character" w:customStyle="1" w:styleId="ListLabel164">
    <w:name w:val="ListLabel 164"/>
    <w:rPr>
      <w:rFonts w:cs="Times New Roman"/>
    </w:rPr>
  </w:style>
  <w:style w:type="character" w:customStyle="1" w:styleId="ListLabel165">
    <w:name w:val="ListLabel 165"/>
    <w:rPr>
      <w:rFonts w:cs="Times New Roman"/>
    </w:rPr>
  </w:style>
  <w:style w:type="character" w:customStyle="1" w:styleId="ListLabel166">
    <w:name w:val="ListLabel 166"/>
    <w:rPr>
      <w:rFonts w:cs="Times New Roman"/>
    </w:rPr>
  </w:style>
  <w:style w:type="character" w:customStyle="1" w:styleId="ListLabel167">
    <w:name w:val="ListLabel 167"/>
    <w:rPr>
      <w:rFonts w:cs="Times New Roman"/>
    </w:rPr>
  </w:style>
  <w:style w:type="character" w:customStyle="1" w:styleId="ListLabel223">
    <w:name w:val="ListLabel 223"/>
    <w:rPr>
      <w:rFonts w:ascii="Roboto Condensed Light" w:eastAsia="Roboto Condensed Light" w:hAnsi="Roboto Condensed Light" w:cs="Times New Roman"/>
      <w:b w:val="0"/>
    </w:rPr>
  </w:style>
  <w:style w:type="character" w:customStyle="1" w:styleId="ListLabel224">
    <w:name w:val="ListLabel 224"/>
    <w:rPr>
      <w:rFonts w:cs="Times New Roman"/>
    </w:rPr>
  </w:style>
  <w:style w:type="character" w:customStyle="1" w:styleId="ListLabel225">
    <w:name w:val="ListLabel 225"/>
    <w:rPr>
      <w:rFonts w:cs="Times New Roman"/>
    </w:rPr>
  </w:style>
  <w:style w:type="character" w:customStyle="1" w:styleId="ListLabel226">
    <w:name w:val="ListLabel 226"/>
    <w:rPr>
      <w:rFonts w:cs="Times New Roman"/>
    </w:rPr>
  </w:style>
  <w:style w:type="character" w:customStyle="1" w:styleId="ListLabel227">
    <w:name w:val="ListLabel 227"/>
    <w:rPr>
      <w:rFonts w:cs="Times New Roman"/>
    </w:rPr>
  </w:style>
  <w:style w:type="character" w:customStyle="1" w:styleId="ListLabel228">
    <w:name w:val="ListLabel 228"/>
    <w:rPr>
      <w:rFonts w:cs="Times New Roman"/>
    </w:rPr>
  </w:style>
  <w:style w:type="character" w:customStyle="1" w:styleId="ListLabel229">
    <w:name w:val="ListLabel 229"/>
    <w:rPr>
      <w:rFonts w:cs="Times New Roman"/>
    </w:rPr>
  </w:style>
  <w:style w:type="character" w:customStyle="1" w:styleId="ListLabel230">
    <w:name w:val="ListLabel 230"/>
    <w:rPr>
      <w:rFonts w:cs="Times New Roman"/>
    </w:rPr>
  </w:style>
  <w:style w:type="character" w:customStyle="1" w:styleId="ListLabel231">
    <w:name w:val="ListLabel 231"/>
    <w:rPr>
      <w:rFonts w:cs="Times New Roman"/>
    </w:rPr>
  </w:style>
  <w:style w:type="character" w:customStyle="1" w:styleId="ListLabel214">
    <w:name w:val="ListLabel 214"/>
    <w:rPr>
      <w:rFonts w:ascii="Arial" w:eastAsia="Arial" w:hAnsi="Arial" w:cs="Times New Roman"/>
    </w:rPr>
  </w:style>
  <w:style w:type="character" w:customStyle="1" w:styleId="ListLabel215">
    <w:name w:val="ListLabel 215"/>
    <w:rPr>
      <w:rFonts w:cs="Times New Roman"/>
    </w:rPr>
  </w:style>
  <w:style w:type="character" w:customStyle="1" w:styleId="ListLabel216">
    <w:name w:val="ListLabel 216"/>
    <w:rPr>
      <w:rFonts w:cs="Times New Roman"/>
    </w:rPr>
  </w:style>
  <w:style w:type="character" w:customStyle="1" w:styleId="ListLabel217">
    <w:name w:val="ListLabel 217"/>
    <w:rPr>
      <w:rFonts w:cs="Times New Roman"/>
    </w:rPr>
  </w:style>
  <w:style w:type="character" w:customStyle="1" w:styleId="ListLabel218">
    <w:name w:val="ListLabel 218"/>
    <w:rPr>
      <w:rFonts w:cs="Times New Roman"/>
    </w:rPr>
  </w:style>
  <w:style w:type="character" w:customStyle="1" w:styleId="ListLabel219">
    <w:name w:val="ListLabel 219"/>
    <w:rPr>
      <w:rFonts w:cs="Times New Roman"/>
    </w:rPr>
  </w:style>
  <w:style w:type="character" w:customStyle="1" w:styleId="ListLabel220">
    <w:name w:val="ListLabel 220"/>
    <w:rPr>
      <w:rFonts w:cs="Times New Roman"/>
    </w:rPr>
  </w:style>
  <w:style w:type="character" w:customStyle="1" w:styleId="ListLabel221">
    <w:name w:val="ListLabel 221"/>
    <w:rPr>
      <w:rFonts w:cs="Times New Roman"/>
    </w:rPr>
  </w:style>
  <w:style w:type="character" w:customStyle="1" w:styleId="ListLabel222">
    <w:name w:val="ListLabel 222"/>
    <w:rPr>
      <w:rFonts w:cs="Times New Roman"/>
    </w:rPr>
  </w:style>
  <w:style w:type="character" w:customStyle="1" w:styleId="NumberingSymbols">
    <w:name w:val="Numbering Symbols"/>
  </w:style>
  <w:style w:type="numbering" w:customStyle="1" w:styleId="WWNum15">
    <w:name w:val="WWNum15"/>
    <w:basedOn w:val="Bezlisty"/>
    <w:pPr>
      <w:numPr>
        <w:numId w:val="1"/>
      </w:numPr>
    </w:pPr>
  </w:style>
  <w:style w:type="numbering" w:customStyle="1" w:styleId="WWNum17">
    <w:name w:val="WWNum17"/>
    <w:basedOn w:val="Bezlisty"/>
    <w:pPr>
      <w:numPr>
        <w:numId w:val="2"/>
      </w:numPr>
    </w:pPr>
  </w:style>
  <w:style w:type="numbering" w:customStyle="1" w:styleId="WWNum16">
    <w:name w:val="WWNum16"/>
    <w:basedOn w:val="Bezlisty"/>
    <w:pPr>
      <w:numPr>
        <w:numId w:val="3"/>
      </w:numPr>
    </w:pPr>
  </w:style>
  <w:style w:type="numbering" w:customStyle="1" w:styleId="WWNum18">
    <w:name w:val="WWNum18"/>
    <w:basedOn w:val="Bezlisty"/>
    <w:pPr>
      <w:numPr>
        <w:numId w:val="4"/>
      </w:numPr>
    </w:pPr>
  </w:style>
  <w:style w:type="numbering" w:customStyle="1" w:styleId="WWNum19">
    <w:name w:val="WWNum19"/>
    <w:basedOn w:val="Bezlisty"/>
    <w:pPr>
      <w:numPr>
        <w:numId w:val="5"/>
      </w:numPr>
    </w:pPr>
  </w:style>
  <w:style w:type="numbering" w:customStyle="1" w:styleId="WWNum29">
    <w:name w:val="WWNum29"/>
    <w:basedOn w:val="Bezlisty"/>
    <w:pPr>
      <w:numPr>
        <w:numId w:val="6"/>
      </w:numPr>
    </w:pPr>
  </w:style>
  <w:style w:type="numbering" w:customStyle="1" w:styleId="WWNum20">
    <w:name w:val="WWNum20"/>
    <w:basedOn w:val="Bezlisty"/>
    <w:pPr>
      <w:numPr>
        <w:numId w:val="7"/>
      </w:numPr>
    </w:pPr>
  </w:style>
  <w:style w:type="numbering" w:customStyle="1" w:styleId="WWNum21">
    <w:name w:val="WWNum21"/>
    <w:basedOn w:val="Bezlisty"/>
    <w:pPr>
      <w:numPr>
        <w:numId w:val="8"/>
      </w:numPr>
    </w:pPr>
  </w:style>
  <w:style w:type="numbering" w:customStyle="1" w:styleId="WWNum26">
    <w:name w:val="WWNum26"/>
    <w:basedOn w:val="Bezlisty"/>
    <w:pPr>
      <w:numPr>
        <w:numId w:val="9"/>
      </w:numPr>
    </w:pPr>
  </w:style>
  <w:style w:type="numbering" w:customStyle="1" w:styleId="WWNum25">
    <w:name w:val="WWNum25"/>
    <w:basedOn w:val="Bezlisty"/>
    <w:pPr>
      <w:numPr>
        <w:numId w:val="10"/>
      </w:numPr>
    </w:pPr>
  </w:style>
  <w:style w:type="numbering" w:customStyle="1" w:styleId="WWNum27">
    <w:name w:val="WWNum27"/>
    <w:basedOn w:val="Bezlisty"/>
    <w:pPr>
      <w:numPr>
        <w:numId w:val="11"/>
      </w:numPr>
    </w:pPr>
  </w:style>
  <w:style w:type="numbering" w:customStyle="1" w:styleId="WWNum22">
    <w:name w:val="WWNum22"/>
    <w:basedOn w:val="Bezlisty"/>
    <w:pPr>
      <w:numPr>
        <w:numId w:val="12"/>
      </w:numPr>
    </w:pPr>
  </w:style>
  <w:style w:type="numbering" w:customStyle="1" w:styleId="WWNum28">
    <w:name w:val="WWNum28"/>
    <w:basedOn w:val="Bezlisty"/>
    <w:pPr>
      <w:numPr>
        <w:numId w:val="13"/>
      </w:numPr>
    </w:pPr>
  </w:style>
  <w:style w:type="numbering" w:customStyle="1" w:styleId="WWNum24">
    <w:name w:val="WWNum24"/>
    <w:basedOn w:val="Bezlisty"/>
    <w:pPr>
      <w:numPr>
        <w:numId w:val="14"/>
      </w:numPr>
    </w:pPr>
  </w:style>
  <w:style w:type="numbering" w:customStyle="1" w:styleId="WWNum23">
    <w:name w:val="WWNum23"/>
    <w:basedOn w:val="Bezlisty"/>
    <w:pPr>
      <w:numPr>
        <w:numId w:val="15"/>
      </w:numPr>
    </w:pPr>
  </w:style>
  <w:style w:type="numbering" w:customStyle="1" w:styleId="WWNum31">
    <w:name w:val="WWNum31"/>
    <w:basedOn w:val="Bezlisty"/>
    <w:pPr>
      <w:numPr>
        <w:numId w:val="16"/>
      </w:numPr>
    </w:pPr>
  </w:style>
  <w:style w:type="numbering" w:customStyle="1" w:styleId="WWNum30">
    <w:name w:val="WWNum30"/>
    <w:basedOn w:val="Bezlisty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20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20A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8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2288</Words>
  <Characters>13730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Fingas</dc:creator>
  <cp:lastModifiedBy>pnowak</cp:lastModifiedBy>
  <cp:revision>2</cp:revision>
  <cp:lastPrinted>2018-02-12T09:33:00Z</cp:lastPrinted>
  <dcterms:created xsi:type="dcterms:W3CDTF">2018-02-12T06:41:00Z</dcterms:created>
  <dcterms:modified xsi:type="dcterms:W3CDTF">2018-02-12T06:41:00Z</dcterms:modified>
</cp:coreProperties>
</file>